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809"/>
        <w:jc w:val="center"/>
        <w:rPr>
          <w:rFonts w:ascii="Times New Roman" w:hAnsi="Times New Roman"/>
          <w:b/>
          <w:sz w:val="32"/>
        </w:rPr>
      </w:pPr>
      <w:r/>
      <w:r/>
      <w:r>
        <w:rPr>
          <w:rFonts w:ascii="Times New Roman" w:hAnsi="Times New Roman"/>
          <w:b/>
          <w:sz w:val="32"/>
        </w:rPr>
        <w:t xml:space="preserve">ПОЛОЖЕНИЕ </w:t>
      </w:r>
      <w:r>
        <w:rPr>
          <w:rFonts w:ascii="Times New Roman" w:hAnsi="Times New Roman"/>
          <w:b/>
          <w:sz w:val="32"/>
        </w:rPr>
      </w:r>
      <w:r/>
    </w:p>
    <w:p>
      <w:pPr>
        <w:pStyle w:val="1_8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</w:rPr>
        <w:t xml:space="preserve">о</w:t>
      </w:r>
      <w:r>
        <w:rPr>
          <w:rFonts w:ascii="Times New Roman" w:hAnsi="Times New Roman"/>
          <w:b/>
          <w:sz w:val="32"/>
        </w:rPr>
        <w:t xml:space="preserve"> проведении краевого</w:t>
      </w:r>
      <w:r>
        <w:rPr>
          <w:rFonts w:ascii="Times New Roman" w:hAnsi="Times New Roman"/>
          <w:b/>
          <w:sz w:val="32"/>
        </w:rPr>
        <w:t xml:space="preserve"> конкурса </w:t>
        <w:br/>
      </w:r>
      <w:r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b/>
          <w:sz w:val="32"/>
        </w:rPr>
        <w:t xml:space="preserve">вязанию «</w:t>
      </w:r>
      <w:r>
        <w:rPr>
          <w:rFonts w:ascii="Times New Roman" w:hAnsi="Times New Roman"/>
          <w:b/>
          <w:sz w:val="32"/>
        </w:rPr>
        <w:t xml:space="preserve">Зимние</w:t>
      </w:r>
      <w:r>
        <w:rPr>
          <w:rFonts w:ascii="Times New Roman" w:hAnsi="Times New Roman"/>
          <w:b/>
          <w:sz w:val="32"/>
        </w:rPr>
        <w:t xml:space="preserve"> кружева</w:t>
      </w:r>
      <w:r>
        <w:rPr>
          <w:rFonts w:ascii="Times New Roman" w:hAnsi="Times New Roman"/>
          <w:b/>
          <w:sz w:val="32"/>
        </w:rPr>
        <w:t xml:space="preserve">»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32"/>
        </w:rPr>
      </w:r>
      <w:r/>
    </w:p>
    <w:p>
      <w:pPr>
        <w:pStyle w:val="1_809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Настоящее Положение определяет цели и задачи, условия участия </w:t>
        <w:br/>
        <w:t xml:space="preserve">и критерии оценки, а также срок и порядок проведения краевого конкурса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 xml:space="preserve">на лучш</w:t>
      </w:r>
      <w:r>
        <w:rPr>
          <w:rFonts w:ascii="Times New Roman" w:hAnsi="Times New Roman"/>
          <w:sz w:val="28"/>
        </w:rPr>
        <w:t xml:space="preserve">ую новогоднюю инсталляцию - вязание</w:t>
      </w:r>
      <w:r>
        <w:rPr>
          <w:rFonts w:ascii="Times New Roman" w:hAnsi="Times New Roman"/>
          <w:sz w:val="28"/>
          <w:szCs w:val="28"/>
        </w:rPr>
        <w:t xml:space="preserve"> (далее - Конкурс)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ab/>
        <w:t xml:space="preserve">Организатором конкурса </w:t>
      </w:r>
      <w:r>
        <w:rPr>
          <w:rFonts w:ascii="Times New Roman" w:hAnsi="Times New Roman"/>
          <w:sz w:val="28"/>
          <w:szCs w:val="28"/>
        </w:rPr>
        <w:t xml:space="preserve">выступает </w:t>
      </w:r>
      <w:r>
        <w:rPr>
          <w:rFonts w:ascii="Times New Roman" w:hAnsi="Times New Roman"/>
          <w:sz w:val="28"/>
          <w:szCs w:val="28"/>
        </w:rPr>
        <w:t xml:space="preserve">министерство</w:t>
      </w:r>
      <w:r>
        <w:rPr>
          <w:rFonts w:ascii="Times New Roman" w:hAnsi="Times New Roman"/>
          <w:sz w:val="28"/>
          <w:szCs w:val="28"/>
        </w:rPr>
        <w:t xml:space="preserve"> культуры </w:t>
        <w:br/>
        <w:t xml:space="preserve">и архивного дела Приморского края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851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sz w:val="28"/>
          <w:szCs w:val="28"/>
        </w:rPr>
        <w:t xml:space="preserve">Оператором Конкурса является государственное автономное учреждение «Приморский краевой центр народной культуры» (ГАУ «ПКЦНК»)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color w:val="333333"/>
          <w:sz w:val="28"/>
          <w:szCs w:val="28"/>
        </w:rPr>
      </w:r>
      <w:r/>
    </w:p>
    <w:p>
      <w:pPr>
        <w:pStyle w:val="1_809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_809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8"/>
        </w:rPr>
        <w:t xml:space="preserve">ЗАДАЧИ КОНКУРСА</w:t>
      </w:r>
      <w:r>
        <w:rPr>
          <w:rFonts w:ascii="Times New Roman" w:hAnsi="Times New Roman"/>
          <w:b/>
          <w:sz w:val="24"/>
          <w:szCs w:val="28"/>
        </w:rPr>
      </w:r>
      <w:r/>
    </w:p>
    <w:p>
      <w:pPr>
        <w:pStyle w:val="1_809"/>
        <w:ind w:left="7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8"/>
        </w:rPr>
      </w:r>
      <w:r>
        <w:rPr>
          <w:rFonts w:ascii="Times New Roman" w:hAnsi="Times New Roman"/>
          <w:b/>
          <w:sz w:val="24"/>
          <w:szCs w:val="28"/>
        </w:rPr>
      </w:r>
      <w:r/>
    </w:p>
    <w:p>
      <w:pPr>
        <w:pStyle w:val="1_807"/>
        <w:ind w:firstLine="708"/>
        <w:jc w:val="both"/>
      </w:pPr>
      <w:r>
        <w:rPr>
          <w:sz w:val="28"/>
          <w:szCs w:val="28"/>
        </w:rPr>
        <w:t xml:space="preserve">Конкурс призван решать следующие задачи:</w:t>
      </w:r>
      <w:r>
        <w:rPr>
          <w:sz w:val="28"/>
          <w:szCs w:val="28"/>
        </w:rPr>
      </w:r>
      <w:r/>
    </w:p>
    <w:p>
      <w:pPr>
        <w:pStyle w:val="1_807"/>
        <w:ind w:firstLine="708"/>
        <w:jc w:val="both"/>
      </w:pPr>
      <w:r>
        <w:rPr>
          <w:sz w:val="28"/>
          <w:szCs w:val="28"/>
        </w:rPr>
      </w:r>
      <w:r>
        <w:rPr>
          <w:sz w:val="28"/>
          <w:szCs w:val="28"/>
        </w:rPr>
        <w:t xml:space="preserve">- поддержка мастеров декоративно-прикладного творчества Приморского края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1_807"/>
        <w:ind w:firstLine="708"/>
        <w:jc w:val="both"/>
        <w:rPr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- популяризация </w:t>
      </w:r>
      <w:r>
        <w:rPr>
          <w:sz w:val="28"/>
          <w:szCs w:val="28"/>
        </w:rPr>
        <w:t xml:space="preserve">вязания как направления творчества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/>
    </w:p>
    <w:p>
      <w:pPr>
        <w:pStyle w:val="1_807"/>
        <w:ind w:firstLine="708"/>
        <w:jc w:val="both"/>
      </w:pPr>
      <w:r>
        <w:rPr>
          <w:sz w:val="28"/>
          <w:szCs w:val="28"/>
          <w:lang w:eastAsia="ru-RU"/>
        </w:rPr>
      </w:r>
      <w:r>
        <w:rPr>
          <w:spacing w:val="-3"/>
          <w:sz w:val="28"/>
        </w:rPr>
        <w:t xml:space="preserve">- </w:t>
      </w:r>
      <w:r>
        <w:rPr>
          <w:sz w:val="28"/>
          <w:szCs w:val="28"/>
        </w:rPr>
        <w:t xml:space="preserve">приобщение творческих </w:t>
      </w:r>
      <w:r>
        <w:rPr>
          <w:sz w:val="28"/>
          <w:szCs w:val="28"/>
        </w:rPr>
        <w:t xml:space="preserve">людей к декорированию</w:t>
      </w:r>
      <w:r>
        <w:rPr>
          <w:sz w:val="28"/>
          <w:szCs w:val="28"/>
        </w:rPr>
        <w:t xml:space="preserve"> пространства</w:t>
      </w:r>
      <w:r>
        <w:rPr>
          <w:spacing w:val="-3"/>
          <w:sz w:val="28"/>
        </w:rPr>
        <w:t xml:space="preserve">.</w:t>
      </w:r>
      <w:r>
        <w:rPr>
          <w:sz w:val="28"/>
          <w:szCs w:val="28"/>
        </w:rPr>
      </w:r>
      <w:r/>
    </w:p>
    <w:p>
      <w:pPr>
        <w:pStyle w:val="1_807"/>
        <w:jc w:val="both"/>
        <w:rPr>
          <w:color w:val="FF0000"/>
        </w:rPr>
      </w:pPr>
      <w:r>
        <w:rPr>
          <w:color w:val="FF0000"/>
          <w:spacing w:val="-3"/>
          <w:sz w:val="28"/>
        </w:rPr>
      </w:r>
      <w:r>
        <w:rPr>
          <w:color w:val="FF0000"/>
          <w:spacing w:val="-3"/>
          <w:sz w:val="28"/>
        </w:rPr>
      </w:r>
      <w:r/>
    </w:p>
    <w:p>
      <w:pPr>
        <w:pStyle w:val="1_809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  <w:r/>
    </w:p>
    <w:p>
      <w:pPr>
        <w:pStyle w:val="1_809"/>
        <w:jc w:val="center"/>
        <w:rPr>
          <w:rFonts w:ascii="Times New Roman" w:hAnsi="Times New Roman" w:eastAsia="Batang"/>
        </w:rPr>
      </w:pPr>
      <w:r>
        <w:rPr>
          <w:rFonts w:ascii="Times New Roman" w:hAnsi="Times New Roman" w:eastAsia="Batang"/>
          <w:b/>
          <w:sz w:val="24"/>
          <w:szCs w:val="28"/>
        </w:rPr>
        <w:t xml:space="preserve">2. УСЛОВИЯ КОНКУРСА И ПОРЯДОК</w:t>
      </w:r>
      <w:r>
        <w:rPr>
          <w:rFonts w:ascii="Times New Roman" w:hAnsi="Times New Roman" w:eastAsia="Batang"/>
          <w:sz w:val="24"/>
          <w:szCs w:val="28"/>
        </w:rPr>
        <w:t xml:space="preserve"> </w:t>
      </w:r>
      <w:r>
        <w:rPr>
          <w:rFonts w:ascii="Times New Roman" w:hAnsi="Times New Roman" w:eastAsia="Batang"/>
          <w:b/>
          <w:sz w:val="24"/>
          <w:szCs w:val="28"/>
        </w:rPr>
        <w:t xml:space="preserve">ПРОВЕДЕНИЯ</w:t>
      </w:r>
      <w:r>
        <w:rPr>
          <w:rFonts w:ascii="Times New Roman" w:hAnsi="Times New Roman" w:eastAsia="Batang"/>
          <w:b/>
          <w:sz w:val="24"/>
          <w:szCs w:val="28"/>
        </w:rPr>
      </w:r>
      <w:r/>
    </w:p>
    <w:p>
      <w:pPr>
        <w:pStyle w:val="1_809"/>
        <w:jc w:val="center"/>
        <w:rPr>
          <w:rFonts w:ascii="Times New Roman" w:hAnsi="Times New Roman" w:eastAsia="Batang"/>
        </w:rPr>
      </w:pPr>
      <w:r>
        <w:rPr>
          <w:rFonts w:ascii="Times New Roman" w:hAnsi="Times New Roman" w:eastAsia="Batang"/>
          <w:b/>
          <w:sz w:val="28"/>
          <w:szCs w:val="28"/>
        </w:rPr>
      </w:r>
      <w:r>
        <w:rPr>
          <w:rFonts w:ascii="Times New Roman" w:hAnsi="Times New Roman" w:eastAsia="Batang"/>
          <w:b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eastAsia="Batang"/>
          <w:b/>
          <w:sz w:val="28"/>
          <w:szCs w:val="28"/>
        </w:rPr>
        <w:t xml:space="preserve">2.1.</w:t>
      </w:r>
      <w:r>
        <w:rPr>
          <w:rFonts w:ascii="Times New Roman" w:hAnsi="Times New Roman" w:eastAsia="Batang"/>
          <w:sz w:val="28"/>
          <w:szCs w:val="28"/>
        </w:rPr>
        <w:t xml:space="preserve"> </w:t>
      </w:r>
      <w:r>
        <w:rPr>
          <w:rFonts w:ascii="Times New Roman" w:hAnsi="Times New Roman" w:eastAsia="Batang"/>
          <w:b/>
          <w:sz w:val="28"/>
          <w:szCs w:val="28"/>
        </w:rPr>
        <w:t xml:space="preserve">Конкурс </w:t>
      </w:r>
      <w:r>
        <w:rPr>
          <w:rFonts w:ascii="Times New Roman" w:hAnsi="Times New Roman"/>
          <w:b/>
          <w:sz w:val="28"/>
          <w:szCs w:val="28"/>
        </w:rPr>
        <w:t xml:space="preserve">проводится в </w:t>
      </w:r>
      <w:r>
        <w:rPr>
          <w:rFonts w:ascii="Times New Roman" w:hAnsi="Times New Roman"/>
          <w:b/>
          <w:sz w:val="28"/>
          <w:szCs w:val="28"/>
        </w:rPr>
        <w:t xml:space="preserve">3 этапа.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 этап. C 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07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г. Н</w:t>
      </w:r>
      <w:r>
        <w:rPr>
          <w:rFonts w:ascii="Times New Roman" w:hAnsi="Times New Roman"/>
          <w:sz w:val="28"/>
          <w:szCs w:val="28"/>
        </w:rPr>
        <w:t xml:space="preserve">еобходимо заполнить анкету по ссылке: </w:t>
      </w:r>
      <w:r>
        <w:rPr>
          <w:rFonts w:ascii="Times New Roman" w:hAnsi="Times New Roman"/>
          <w:b/>
          <w:sz w:val="28"/>
          <w:szCs w:val="28"/>
        </w:rPr>
        <w:t xml:space="preserve">https://forms.gle/HHoWzJUBWLkVAEtq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2 этап.</w:t>
      </w:r>
      <w:r>
        <w:rPr>
          <w:rFonts w:ascii="Times New Roman" w:hAnsi="Times New Roman"/>
          <w:sz w:val="28"/>
          <w:szCs w:val="28"/>
        </w:rPr>
        <w:t xml:space="preserve"> До 14</w:t>
      </w:r>
      <w:r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предоставить </w:t>
      </w:r>
      <w:r>
        <w:rPr>
          <w:rFonts w:ascii="Times New Roman" w:hAnsi="Times New Roman"/>
          <w:sz w:val="28"/>
          <w:szCs w:val="28"/>
        </w:rPr>
        <w:t xml:space="preserve">готовое изделие в ГАУ «ПКЦНК» по адресу: </w:t>
      </w:r>
      <w:r>
        <w:rPr>
          <w:rFonts w:ascii="Times New Roman" w:hAnsi="Times New Roman"/>
          <w:sz w:val="28"/>
          <w:szCs w:val="28"/>
        </w:rPr>
        <w:t xml:space="preserve">690000, г. Владивосток, ул. Пушкинская, дом 25. 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3 этап. С 1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января 2021 г</w:t>
      </w:r>
      <w:r>
        <w:rPr>
          <w:rFonts w:ascii="Times New Roman" w:hAnsi="Times New Roman"/>
          <w:sz w:val="28"/>
          <w:szCs w:val="28"/>
        </w:rPr>
        <w:t xml:space="preserve">. - </w:t>
      </w:r>
      <w:r>
        <w:rPr>
          <w:rFonts w:ascii="Times New Roman" w:hAnsi="Times New Roman"/>
          <w:sz w:val="28"/>
          <w:szCs w:val="28"/>
        </w:rPr>
        <w:t xml:space="preserve">период экспонирования работ. </w:t>
      </w:r>
      <w:r>
        <w:rPr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szCs w:val="28"/>
        </w:rPr>
      </w:r>
      <w:r>
        <w:rPr>
          <w:rFonts w:ascii="Times New Roman" w:hAnsi="Times New Roman"/>
          <w:b w:val="false"/>
          <w:sz w:val="28"/>
          <w:szCs w:val="28"/>
        </w:rPr>
        <w:t xml:space="preserve">Церемония награждения</w:t>
      </w:r>
      <w:r>
        <w:rPr>
          <w:rFonts w:ascii="Times New Roman" w:hAnsi="Times New Roman"/>
          <w:b w:val="false"/>
          <w:sz w:val="28"/>
          <w:szCs w:val="28"/>
        </w:rPr>
        <w:t xml:space="preserve"> победителей</w:t>
      </w:r>
      <w:r>
        <w:rPr>
          <w:rFonts w:ascii="Times New Roman" w:hAnsi="Times New Roman"/>
          <w:b w:val="false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подробная информация о церемонии награждения будет отправлена участникам на указанную ими в анкете электронную почту (</w:t>
      </w: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 завершению конкурса </w:t>
      </w:r>
      <w:r>
        <w:rPr>
          <w:rFonts w:ascii="Times New Roman" w:hAnsi="Times New Roman"/>
          <w:sz w:val="28"/>
          <w:szCs w:val="28"/>
        </w:rPr>
        <w:t xml:space="preserve">работы могут быть переданы авторам.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rPr>
          <w:rFonts w:ascii="Times New Roman" w:hAnsi="Times New Roman"/>
          <w:color w:val="FF0000"/>
          <w:highlight w:val="yellow"/>
        </w:rPr>
      </w:pP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>
        <w:rPr>
          <w:rFonts w:ascii="Times New Roman" w:hAnsi="Times New Roman"/>
          <w:color w:val="FF0000"/>
          <w:sz w:val="28"/>
          <w:szCs w:val="28"/>
          <w:highlight w:val="yellow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Формат работ конкурса</w:t>
      </w:r>
      <w:r>
        <w:rPr>
          <w:rFonts w:ascii="Times New Roman" w:hAnsi="Times New Roman"/>
          <w:b/>
          <w:sz w:val="28"/>
          <w:szCs w:val="28"/>
        </w:rPr>
        <w:t xml:space="preserve">, технические и художественные требования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7"/>
        <w:ind w:firstLine="708"/>
        <w:spacing w:lineRule="atLeast" w:line="181"/>
        <w:shd w:val="clear" w:color="auto" w:fill="FFFFFF"/>
        <w:rPr>
          <w:color w:val="000000"/>
        </w:rPr>
      </w:pPr>
      <w:r>
        <w:rPr>
          <w:bCs/>
          <w:color w:val="000000"/>
          <w:sz w:val="28"/>
        </w:rPr>
        <w:t xml:space="preserve">Конкурсная ра</w:t>
      </w:r>
      <w:r>
        <w:rPr>
          <w:bCs/>
          <w:color w:val="000000"/>
          <w:sz w:val="28"/>
        </w:rPr>
        <w:t xml:space="preserve">бота должна представлять вязанное</w:t>
      </w:r>
      <w:r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 xml:space="preserve">полотно  в бело-голубой цветовой гамме в </w:t>
      </w:r>
      <w:r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 xml:space="preserve">любой технике</w:t>
      </w:r>
      <w:r>
        <w:rPr>
          <w:bCs/>
          <w:color w:val="000000"/>
          <w:sz w:val="28"/>
        </w:rPr>
        <w:t xml:space="preserve">. </w:t>
      </w:r>
      <w:r>
        <w:rPr>
          <w:bCs/>
          <w:color w:val="000000"/>
          <w:sz w:val="28"/>
        </w:rPr>
        <w:t xml:space="preserve">Размер изделия </w:t>
      </w:r>
      <w:r>
        <w:rPr>
          <w:bCs/>
          <w:color w:val="000000"/>
          <w:sz w:val="28"/>
        </w:rPr>
        <w:t xml:space="preserve"> </w:t>
      </w:r>
      <w:r>
        <w:rPr>
          <w:bCs/>
          <w:color w:val="000000"/>
          <w:sz w:val="28"/>
        </w:rPr>
        <w:t xml:space="preserve">150</w:t>
      </w:r>
      <w:r>
        <w:rPr>
          <w:bCs/>
          <w:color w:val="000000"/>
          <w:sz w:val="28"/>
        </w:rPr>
        <w:t xml:space="preserve"> х </w:t>
      </w:r>
      <w:r>
        <w:rPr>
          <w:bCs/>
          <w:color w:val="000000"/>
          <w:sz w:val="28"/>
        </w:rPr>
        <w:t xml:space="preserve">75</w:t>
      </w:r>
      <w:r>
        <w:rPr>
          <w:bCs/>
          <w:color w:val="000000"/>
          <w:sz w:val="28"/>
        </w:rPr>
        <w:t xml:space="preserve"> см.</w:t>
      </w:r>
      <w:r>
        <w:rPr>
          <w:bCs/>
          <w:color w:val="000000"/>
          <w:sz w:val="28"/>
        </w:rPr>
      </w:r>
      <w:r/>
    </w:p>
    <w:p>
      <w:pPr>
        <w:pStyle w:val="1_807"/>
        <w:spacing w:lineRule="atLeast" w:line="181"/>
        <w:shd w:val="clear" w:color="auto" w:fill="FFFFFF"/>
        <w:rPr>
          <w:color w:val="000000"/>
        </w:rPr>
      </w:pPr>
      <w:r>
        <w:rPr>
          <w:bCs/>
          <w:color w:val="000000"/>
          <w:sz w:val="28"/>
        </w:rPr>
        <w:t xml:space="preserve">Допускается использование собственных материалов. </w:t>
      </w:r>
      <w:r>
        <w:rPr>
          <w:color w:val="000000"/>
          <w:sz w:val="28"/>
          <w:szCs w:val="16"/>
        </w:rPr>
      </w:r>
      <w:r/>
    </w:p>
    <w:p>
      <w:pPr>
        <w:pStyle w:val="1_809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_809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. Возрастные </w:t>
      </w:r>
      <w:r>
        <w:rPr>
          <w:rFonts w:ascii="Times New Roman" w:hAnsi="Times New Roman"/>
          <w:b/>
          <w:sz w:val="28"/>
          <w:szCs w:val="28"/>
        </w:rPr>
        <w:t xml:space="preserve">ограничения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Возрастных ограничений в конкурсе нет.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pStyle w:val="1_809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Конкурсная комиссия и критерии оценки работ.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онкурсная комиссия </w:t>
      </w:r>
      <w:r>
        <w:rPr>
          <w:rFonts w:ascii="Times New Roman" w:hAnsi="Times New Roman"/>
          <w:sz w:val="28"/>
          <w:szCs w:val="28"/>
        </w:rPr>
        <w:t xml:space="preserve">формируе</w:t>
      </w:r>
      <w:r>
        <w:rPr>
          <w:rFonts w:ascii="Times New Roman" w:hAnsi="Times New Roman"/>
          <w:sz w:val="28"/>
          <w:szCs w:val="28"/>
        </w:rPr>
        <w:t xml:space="preserve">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организационным комитетом </w:t>
      </w:r>
      <w:r>
        <w:rPr>
          <w:rFonts w:ascii="Times New Roman" w:hAnsi="Times New Roman"/>
          <w:sz w:val="28"/>
          <w:szCs w:val="28"/>
        </w:rPr>
        <w:t xml:space="preserve">ГАУ «ПКЦНК» из числа ведущих деятелей культуры и искусства.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Критерии оценок: </w:t>
      </w:r>
      <w:r>
        <w:rPr>
          <w:rFonts w:ascii="Times New Roman" w:hAnsi="Times New Roman"/>
          <w:sz w:val="28"/>
          <w:szCs w:val="28"/>
          <w:u w:val="single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сложность исполнения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сложность рисунка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 оригинальность;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 качество исполнения (эстетичность, аккуратность)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законченность произведения.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</w:r>
      <w:r>
        <w:rPr>
          <w:rFonts w:ascii="Times New Roman" w:hAnsi="Times New Roman"/>
          <w:b/>
          <w:sz w:val="28"/>
          <w:szCs w:val="28"/>
          <w:highlight w:val="yellow"/>
        </w:rPr>
      </w:r>
      <w:r/>
    </w:p>
    <w:p>
      <w:pPr>
        <w:pStyle w:val="1_809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2.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b/>
          <w:sz w:val="28"/>
          <w:szCs w:val="28"/>
        </w:rPr>
        <w:t xml:space="preserve">. Участники конкурса.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Участниками Конкурса могут быть </w:t>
      </w:r>
      <w:r>
        <w:rPr>
          <w:rFonts w:ascii="Times New Roman" w:hAnsi="Times New Roman"/>
          <w:sz w:val="28"/>
          <w:szCs w:val="28"/>
        </w:rPr>
        <w:t xml:space="preserve">мастера декоративно прикладного творчества</w:t>
      </w:r>
      <w:r>
        <w:rPr>
          <w:rFonts w:ascii="Times New Roman" w:hAnsi="Times New Roman"/>
          <w:sz w:val="28"/>
          <w:szCs w:val="28"/>
        </w:rPr>
        <w:t xml:space="preserve">, работающие в технике вязания.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jc w:val="both"/>
        <w:rPr>
          <w:rFonts w:ascii="Times New Roman" w:hAnsi="Times New Roman"/>
          <w:color w:val="FF0000"/>
          <w:highlight w:val="yellow"/>
        </w:rPr>
      </w:pPr>
      <w:r>
        <w:rPr>
          <w:rFonts w:ascii="Times New Roman" w:hAnsi="Times New Roman"/>
          <w:color w:val="FF0000"/>
          <w:sz w:val="24"/>
          <w:szCs w:val="28"/>
          <w:highlight w:val="yellow"/>
        </w:rPr>
      </w:r>
      <w:r>
        <w:rPr>
          <w:rFonts w:ascii="Times New Roman" w:hAnsi="Times New Roman"/>
          <w:color w:val="FF0000"/>
          <w:sz w:val="24"/>
          <w:szCs w:val="28"/>
          <w:highlight w:val="yellow"/>
        </w:rPr>
      </w:r>
      <w:r/>
    </w:p>
    <w:p>
      <w:pPr>
        <w:pStyle w:val="1_809"/>
        <w:rPr>
          <w:rFonts w:ascii="Times New Roman" w:hAnsi="Times New Roman"/>
          <w:color w:val="FF0000"/>
          <w:highlight w:val="yellow"/>
        </w:rPr>
      </w:pPr>
      <w:r>
        <w:rPr>
          <w:rStyle w:val="1_810"/>
          <w:rFonts w:ascii="Times New Roman" w:hAnsi="Times New Roman"/>
          <w:color w:val="FF0000"/>
          <w:sz w:val="28"/>
          <w:szCs w:val="28"/>
          <w:highlight w:val="yellow"/>
        </w:rPr>
      </w:r>
      <w:r>
        <w:rPr>
          <w:rStyle w:val="1_810"/>
          <w:rFonts w:ascii="Times New Roman" w:hAnsi="Times New Roman"/>
          <w:color w:val="FF0000"/>
          <w:sz w:val="28"/>
          <w:szCs w:val="28"/>
          <w:highlight w:val="yellow"/>
        </w:rPr>
      </w:r>
      <w:r>
        <w:rPr>
          <w:rStyle w:val="1_810"/>
        </w:rPr>
      </w:r>
    </w:p>
    <w:p>
      <w:pPr>
        <w:pStyle w:val="1_8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8"/>
        </w:rPr>
        <w:t xml:space="preserve">3. ПОДВЕДЕНИЕ ИТОГОВ КОНКУРСА И НАГРАЖДЕНИЕ ПОБЕДИТЕЛЕЙ</w:t>
      </w:r>
      <w:r>
        <w:rPr>
          <w:rFonts w:ascii="Times New Roman" w:hAnsi="Times New Roman"/>
          <w:b/>
          <w:sz w:val="24"/>
          <w:szCs w:val="28"/>
        </w:rPr>
      </w:r>
      <w:r/>
    </w:p>
    <w:p>
      <w:pPr>
        <w:pStyle w:val="1_8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комиссия определяет победителей и </w:t>
      </w:r>
      <w:r>
        <w:rPr>
          <w:rFonts w:ascii="Times New Roman" w:hAnsi="Times New Roman"/>
          <w:sz w:val="28"/>
          <w:szCs w:val="28"/>
        </w:rPr>
        <w:t xml:space="preserve">участников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Работы оцениваются в соответствии с критериями, указанными </w:t>
        <w:br/>
        <w:t xml:space="preserve">в п. 2.</w:t>
      </w:r>
      <w:r>
        <w:rPr>
          <w:rFonts w:ascii="Times New Roman" w:hAnsi="Times New Roman"/>
          <w:bCs/>
          <w:sz w:val="28"/>
          <w:szCs w:val="28"/>
        </w:rPr>
        <w:t xml:space="preserve">4</w:t>
      </w:r>
      <w:r>
        <w:rPr>
          <w:rFonts w:ascii="Times New Roman" w:hAnsi="Times New Roman"/>
          <w:bCs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bCs/>
          <w:sz w:val="28"/>
          <w:szCs w:val="28"/>
        </w:rPr>
        <w:t xml:space="preserve"> по десятибалльной </w:t>
      </w:r>
      <w:r>
        <w:rPr>
          <w:rFonts w:ascii="Times New Roman" w:hAnsi="Times New Roman"/>
          <w:bCs/>
          <w:sz w:val="28"/>
          <w:szCs w:val="28"/>
        </w:rPr>
        <w:t xml:space="preserve">шкале. Победители определяются по наибольшей сумме полученных баллов.</w:t>
      </w:r>
      <w:r>
        <w:rPr>
          <w:rFonts w:ascii="Times New Roman" w:hAnsi="Times New Roman"/>
          <w:bCs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</w:t>
      </w:r>
      <w:r>
        <w:rPr>
          <w:rFonts w:ascii="Times New Roman" w:hAnsi="Times New Roman"/>
          <w:sz w:val="28"/>
          <w:szCs w:val="28"/>
        </w:rPr>
        <w:t xml:space="preserve">  По итогам конкурса про</w:t>
      </w:r>
      <w:r>
        <w:rPr>
          <w:rFonts w:ascii="Times New Roman" w:hAnsi="Times New Roman"/>
          <w:sz w:val="28"/>
          <w:szCs w:val="28"/>
        </w:rPr>
        <w:t xml:space="preserve">водится награждение победителей.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Конкурсная комиссия оставляет за собой право присуждения специал</w:t>
      </w:r>
      <w:r>
        <w:rPr>
          <w:rFonts w:ascii="Times New Roman" w:hAnsi="Times New Roman"/>
          <w:sz w:val="28"/>
          <w:szCs w:val="28"/>
        </w:rPr>
        <w:t xml:space="preserve">ьных призов.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</w:t>
      </w:r>
      <w:r>
        <w:rPr>
          <w:rFonts w:ascii="Times New Roman" w:hAnsi="Times New Roman"/>
          <w:b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Оргкомитет оставляет за собой право вносить дополнения и изменения в настоящее Положение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/>
    </w:p>
    <w:p>
      <w:pPr>
        <w:pStyle w:val="1_809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</w:r>
      <w:r>
        <w:rPr>
          <w:rFonts w:ascii="Times New Roman" w:hAnsi="Times New Roman"/>
          <w:b/>
          <w:sz w:val="28"/>
          <w:szCs w:val="28"/>
          <w:highlight w:val="yellow"/>
        </w:rPr>
      </w:r>
      <w:r/>
    </w:p>
    <w:p>
      <w:pPr>
        <w:pStyle w:val="1_8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8"/>
        </w:rPr>
        <w:t xml:space="preserve">4. </w:t>
      </w:r>
      <w:r>
        <w:rPr>
          <w:rFonts w:ascii="Times New Roman" w:hAnsi="Times New Roman"/>
          <w:b/>
          <w:sz w:val="24"/>
          <w:szCs w:val="28"/>
        </w:rPr>
        <w:t xml:space="preserve">КОНТАКТЫ ОРГКОМИТЕТА</w:t>
      </w:r>
      <w:r>
        <w:rPr>
          <w:rFonts w:ascii="Times New Roman" w:hAnsi="Times New Roman"/>
          <w:b/>
          <w:sz w:val="24"/>
          <w:szCs w:val="28"/>
        </w:rPr>
      </w:r>
      <w:r/>
    </w:p>
    <w:p>
      <w:pPr>
        <w:pStyle w:val="1_8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8"/>
        </w:rPr>
      </w:r>
      <w:r>
        <w:rPr>
          <w:rFonts w:ascii="Times New Roman" w:hAnsi="Times New Roman"/>
          <w:b/>
          <w:sz w:val="24"/>
          <w:szCs w:val="28"/>
        </w:rPr>
      </w:r>
      <w:r/>
    </w:p>
    <w:p>
      <w:pPr>
        <w:pStyle w:val="1_8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690000, РФ, Приморский край, г. Владивосток, ул. Пушкинская, дом 25. 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ГАУ ПКЦНК. 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"http://www.pkcnk.ru"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1_808"/>
          <w:rFonts w:ascii="Times New Roman" w:hAnsi="Times New Roman"/>
          <w:color w:val="000000"/>
          <w:sz w:val="28"/>
          <w:szCs w:val="28"/>
        </w:rPr>
        <w:t xml:space="preserve">http://www.pkcnk.ru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 , 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Natalya-lotos@mail.ru.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Контактные телефоны</w:t>
      </w:r>
      <w:r>
        <w:rPr>
          <w:rFonts w:ascii="Times New Roman" w:hAnsi="Times New Roman"/>
          <w:sz w:val="28"/>
          <w:szCs w:val="28"/>
        </w:rPr>
        <w:t xml:space="preserve"> в  г. Владивостоке.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1_809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Тел./факс  8(423) 226-56-46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8(423) 26-66-414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368"/>
      </w:pPr>
      <w:r/>
    </w:p>
    <w:sectPr>
      <w:footnotePr/>
      <w:type w:val="nextPage"/>
      <w:pgSz w:w="11905" w:h="16837" w:orient="portrait"/>
      <w:pgMar w:top="1134" w:right="1134" w:bottom="1134" w:left="1134" w:header="1134" w:footer="1134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00506000000020000"/>
  </w:font>
  <w:font w:name="Calibri">
    <w:panose1 w:val="020F0502020204030204"/>
  </w:font>
  <w:font w:name="Tahoma">
    <w:panose1 w:val="020B0604030504040204"/>
  </w:font>
  <w:font w:name="Noto Sans Devanagari">
    <w:panose1 w:val="020B0806030804020204"/>
  </w:font>
  <w:font w:name="Arial">
    <w:panose1 w:val="020B0604020202020204"/>
  </w:font>
  <w:font w:name="Arial Unicode MS">
    <w:panose1 w:val="020B0604020202020204"/>
  </w:font>
  <w:font w:name="Liberation Sans">
    <w:panose1 w:val="020B0604020202020204"/>
  </w:font>
  <w:font w:name="Liberation Serif">
    <w:panose1 w:val="020208030705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1_807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1_807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1_807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1_807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1_807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1_807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1_807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1_807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1_807"/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 w:hint="default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67"/>
    <w:next w:val="36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67"/>
    <w:next w:val="36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67"/>
    <w:next w:val="36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67"/>
    <w:next w:val="36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67"/>
    <w:next w:val="36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67"/>
    <w:next w:val="36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67"/>
    <w:next w:val="36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67"/>
    <w:next w:val="36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67"/>
    <w:next w:val="36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36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67"/>
    <w:next w:val="36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367"/>
    <w:next w:val="36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367"/>
    <w:next w:val="36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67"/>
    <w:next w:val="367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6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367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67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367"/>
    <w:next w:val="367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67"/>
    <w:next w:val="367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67"/>
    <w:next w:val="367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67"/>
    <w:next w:val="367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67"/>
    <w:next w:val="367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67"/>
    <w:next w:val="367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67"/>
    <w:next w:val="367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67"/>
    <w:next w:val="367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67"/>
    <w:next w:val="367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7" w:default="1">
    <w:name w:val="Normal"/>
    <w:next w:val="367"/>
    <w:qFormat/>
    <w:rPr>
      <w:rFonts w:ascii="Liberation Serif" w:hAnsi="Liberation Serif" w:cs="Noto Sans Devanagari" w:eastAsia="Tahoma"/>
      <w:color w:val="auto"/>
      <w:sz w:val="24"/>
      <w:szCs w:val="24"/>
      <w:lang w:val="ru-RU" w:bidi="hi-IN" w:eastAsia="zh-CN"/>
    </w:rPr>
    <w:pPr>
      <w:widowControl/>
    </w:pPr>
  </w:style>
  <w:style w:type="paragraph" w:styleId="368" w:customStyle="1">
    <w:name w:val="Standard"/>
    <w:basedOn w:val="367"/>
  </w:style>
  <w:style w:type="paragraph" w:styleId="369" w:customStyle="1">
    <w:name w:val="Heading"/>
    <w:basedOn w:val="368"/>
    <w:next w:val="370"/>
    <w:rPr>
      <w:rFonts w:ascii="Liberation Sans" w:hAnsi="Liberation Sans" w:cs="Noto Sans Devanagari" w:eastAsia="Tahoma"/>
      <w:sz w:val="28"/>
      <w:szCs w:val="28"/>
    </w:rPr>
    <w:pPr>
      <w:keepNext/>
      <w:spacing w:after="120" w:before="240"/>
    </w:pPr>
  </w:style>
  <w:style w:type="paragraph" w:styleId="370" w:customStyle="1">
    <w:name w:val="Text body"/>
    <w:basedOn w:val="368"/>
    <w:pPr>
      <w:spacing w:lineRule="auto" w:line="288" w:after="140" w:before="0"/>
    </w:pPr>
  </w:style>
  <w:style w:type="paragraph" w:styleId="371" w:customStyle="1">
    <w:name w:val="List"/>
    <w:basedOn w:val="370"/>
    <w:rPr>
      <w:rFonts w:cs="Noto Sans Devanagari"/>
    </w:rPr>
  </w:style>
  <w:style w:type="paragraph" w:styleId="372" w:customStyle="1">
    <w:name w:val="Caption"/>
    <w:basedOn w:val="368"/>
    <w:rPr>
      <w:rFonts w:cs="Noto Sans Devanagari"/>
      <w:i/>
      <w:iCs/>
      <w:sz w:val="24"/>
      <w:szCs w:val="24"/>
    </w:rPr>
    <w:pPr>
      <w:spacing w:after="120" w:before="120"/>
    </w:pPr>
  </w:style>
  <w:style w:type="paragraph" w:styleId="373" w:customStyle="1">
    <w:name w:val="Index"/>
    <w:basedOn w:val="368"/>
    <w:rPr>
      <w:rFonts w:cs="Noto Sans Devanagari"/>
    </w:rPr>
  </w:style>
  <w:style w:type="character" w:styleId="379" w:default="1">
    <w:name w:val="Default Paragraph Font"/>
    <w:uiPriority w:val="1"/>
    <w:semiHidden/>
    <w:unhideWhenUsed/>
  </w:style>
  <w:style w:type="numbering" w:styleId="380" w:default="1">
    <w:name w:val="No List"/>
    <w:uiPriority w:val="99"/>
    <w:semiHidden/>
    <w:unhideWhenUsed/>
  </w:style>
  <w:style w:type="table" w:styleId="381" w:default="1">
    <w:name w:val="Normal Table"/>
    <w:uiPriority w:val="99"/>
    <w:semiHidden/>
    <w:unhideWhenUsed/>
    <w:tblPr/>
  </w:style>
  <w:style w:type="character" w:styleId="1_810">
    <w:name w:val="Пишущая машинка HTML"/>
    <w:next w:val="599"/>
    <w:link w:val="580"/>
    <w:rPr>
      <w:rFonts w:ascii="Arial Unicode MS" w:hAnsi="Arial Unicode MS" w:eastAsia="Arial Unicode MS"/>
      <w:sz w:val="20"/>
      <w:szCs w:val="20"/>
    </w:rPr>
  </w:style>
  <w:style w:type="character" w:styleId="1_808">
    <w:name w:val="Гиперссылка"/>
    <w:next w:val="586"/>
    <w:link w:val="580"/>
    <w:rPr>
      <w:color w:val="0000FF"/>
      <w:u w:val="single"/>
    </w:rPr>
  </w:style>
  <w:style w:type="paragraph" w:styleId="1_807">
    <w:name w:val="Обычный"/>
    <w:next w:val="580"/>
    <w:link w:val="580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4"/>
      <w:szCs w:val="24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1_809">
    <w:name w:val="Без интервала"/>
    <w:next w:val="598"/>
    <w:link w:val="580"/>
    <w:rPr>
      <w:rFonts w:ascii="Calibri" w:hAnsi="Calibri" w:cs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2"/>
      <w:szCs w:val="22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2020-11-26T07:10:26Z</dcterms:modified>
</cp:coreProperties>
</file>