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Пресс - релиз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Владивосток в сентябре примет отраслевой форум</w:t>
        <w:br/>
        <w:t>«Дни Ритейла в Приморье»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Минпромторг России и Российская Ассоциация экспертов рынка ритейла продолжают серию межрегиональных ритейл-мероприятий. Форум «Дни Ритейла в Приморье», организованный совместно с Минпромторгом Приморского края, станет третьим межрегиональным мероприятием в 2023 году и пройдет с 25 по 26 сентября в г. Владивостоке.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«Дни Ритейла в Приморье» - площадка для профессионального диалога представителей власти и ритейла, ключевых экспертов отрасли, поставщиков и производителей, а также независимых экспертов потребительского рынка. Главными акцентами форума станут два бизнес дня, в рамках которых пройдут экспертные и аналитические сессии. Форум соберет ведущих экспертов и представителей розничной индустрии, чтобы обсудить современные вызовы и возможности, а также обменяться ценным опытом и знаниями. Розничные компании и поставщики получат ценные идеи и стратегии, которые помогут эффективно адаптироваться к новой реальности и успешно развиваться на рынке. 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Ключевой темой Форума станет «Потребительский рынок: стратегии и пути развития», которую обсудят на одном из главных мероприятий Форума – пленарном заседании с участием: руководства федеральных и региональных органов власти, институтов развития, ритейла и экспертов. Помимо пленарного заседания организаторы форума «Дни Ритейла в Приморье» готовят деловую программу, состоящую из более чем двадцати экспертных и аналитических сессий, которые будут посвящены направлениям: логистика, маркетинг, технологии, e-commerce, туризм, HR, 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h</w:t>
      </w:r>
      <w:r>
        <w:rPr>
          <w:rFonts w:eastAsia="Times New Roman" w:cs="Times New Roman" w:ascii="Times New Roman" w:hAnsi="Times New Roman"/>
          <w:sz w:val="28"/>
          <w:szCs w:val="28"/>
        </w:rPr>
        <w:t>oreca и другим актуальным темам.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числе спикеров: Никита Кузнецов, директор департамента развития внутренней торговли Минпромторга России; Сергей Калитин, министр промышленности и торговли Приморского края; Владлен Максимов, вице-президент «Опоры России», президент Ассоциации малоформатной торговли; Игорь Бухаров, президент Федерации рестораторов и отельеров; Дмитрий Востриков, исполнительный директор Ассоциации «Руспродсоюз» и другие участники.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рамках Форума будет организована выставочная экспозиция, которая станет площадкой для презентаций, демонстраций и обмена опытом между участниками форума и представителями компаний.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Более подробная информация и актуальные новости на официальном портале «Дни Ритейла в Приморье»: </w:t>
      </w:r>
      <w:hyperlink r:id="rId2">
        <w:r>
          <w:rPr>
            <w:rFonts w:eastAsia="Times New Roman" w:cs="Times New Roman" w:ascii="Times New Roman" w:hAnsi="Times New Roman"/>
            <w:sz w:val="28"/>
            <w:szCs w:val="28"/>
          </w:rPr>
          <w:t>https://primorye.retaildays.ru/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 xml:space="preserve">, а также в соцсетях: </w:t>
      </w:r>
      <w:hyperlink r:id="rId3" w:tgtFrame="https://t.me/retailweek">
        <w:r>
          <w:rPr>
            <w:rFonts w:eastAsia="Times New Roman" w:cs="Times New Roman" w:ascii="Times New Roman" w:hAnsi="Times New Roman"/>
            <w:sz w:val="28"/>
            <w:szCs w:val="28"/>
          </w:rPr>
          <w:t>https://t.me/retailweek</w:t>
        </w:r>
      </w:hyperlink>
      <w:r>
        <w:rPr>
          <w:rFonts w:eastAsia="Times New Roman" w:cs="Times New Roman" w:ascii="Times New Roman" w:hAnsi="Times New Roman"/>
          <w:color w:val="2E74B5" w:themeColor="accent5" w:themeShade="bf"/>
          <w:sz w:val="28"/>
          <w:szCs w:val="28"/>
        </w:rPr>
        <w:t xml:space="preserve">, </w:t>
      </w:r>
      <w:hyperlink r:id="rId4">
        <w:r>
          <w:rPr>
            <w:rFonts w:eastAsia="Times New Roman" w:cs="Times New Roman" w:ascii="Times New Roman" w:hAnsi="Times New Roman"/>
            <w:sz w:val="28"/>
            <w:szCs w:val="28"/>
          </w:rPr>
          <w:t>https://vk.com/retailweek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Пресс-служба Форума: </w:t>
      </w:r>
      <w:hyperlink r:id="rId5">
        <w:r>
          <w:rPr>
            <w:rFonts w:cs="Times New Roman" w:ascii="Times New Roman" w:hAnsi="Times New Roman"/>
            <w:sz w:val="28"/>
            <w:szCs w:val="28"/>
            <w:lang w:val="en-US"/>
          </w:rPr>
          <w:t>pressa</w:t>
        </w:r>
        <w:r>
          <w:rPr>
            <w:rFonts w:cs="Times New Roman" w:ascii="Times New Roman" w:hAnsi="Times New Roman"/>
            <w:sz w:val="28"/>
            <w:szCs w:val="28"/>
          </w:rPr>
          <w:t>@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retailevent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sz w:val="28"/>
          <w:szCs w:val="28"/>
        </w:rPr>
        <w:t>; +7 (495) 323-7107.</w:t>
      </w:r>
    </w:p>
    <w:sectPr>
      <w:type w:val="nextPage"/>
      <w:pgSz w:w="11906" w:h="16838"/>
      <w:pgMar w:left="1418" w:right="851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1">
    <w:name w:val="Heading 1"/>
    <w:basedOn w:val="Normal"/>
    <w:next w:val="Normal"/>
    <w:link w:val="10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0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0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0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0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0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0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link w:val="2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link w:val="3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link w:val="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link w:val="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link w:val="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link w:val="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link w:val="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link w:val="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link w:val="a4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link w:val="a6"/>
    <w:uiPriority w:val="11"/>
    <w:qFormat/>
    <w:rPr>
      <w:sz w:val="24"/>
      <w:szCs w:val="24"/>
    </w:rPr>
  </w:style>
  <w:style w:type="character" w:styleId="22" w:customStyle="1">
    <w:name w:val="Цитата 2 Знак"/>
    <w:link w:val="21"/>
    <w:uiPriority w:val="29"/>
    <w:qFormat/>
    <w:rPr>
      <w:i/>
    </w:rPr>
  </w:style>
  <w:style w:type="character" w:styleId="Style7" w:customStyle="1">
    <w:name w:val="Выделенная цитата Знак"/>
    <w:link w:val="a8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link w:val="ac"/>
    <w:uiPriority w:val="99"/>
    <w:qFormat/>
    <w:rPr>
      <w:sz w:val="18"/>
    </w:rPr>
  </w:style>
  <w:style w:type="character" w:styleId="Style9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10" w:customStyle="1">
    <w:name w:val="Текст концевой сноски Знак"/>
    <w:link w:val="af"/>
    <w:uiPriority w:val="99"/>
    <w:qFormat/>
    <w:rPr>
      <w:sz w:val="20"/>
    </w:rPr>
  </w:style>
  <w:style w:type="character" w:styleId="Style11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Style12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12" w:customStyle="1">
    <w:name w:val="Неразрешенное упоминание1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Style13">
    <w:name w:val="Посещённая гиперссылка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Верхний колонтитул Знак"/>
    <w:basedOn w:val="DefaultParagraphFont"/>
    <w:link w:val="af8"/>
    <w:uiPriority w:val="99"/>
    <w:qFormat/>
    <w:rPr>
      <w:rFonts w:ascii="Calibri" w:hAnsi="Calibri" w:eastAsia="Calibri" w:cs="Calibri"/>
      <w:lang w:eastAsia="ru-RU"/>
    </w:rPr>
  </w:style>
  <w:style w:type="character" w:styleId="Style15" w:customStyle="1">
    <w:name w:val="Нижний колонтитул Знак"/>
    <w:basedOn w:val="DefaultParagraphFont"/>
    <w:link w:val="afa"/>
    <w:uiPriority w:val="99"/>
    <w:qFormat/>
    <w:rPr>
      <w:rFonts w:ascii="Calibri" w:hAnsi="Calibri" w:eastAsia="Calibri" w:cs="Calibri"/>
      <w:lang w:eastAsia="ru-RU"/>
    </w:rPr>
  </w:style>
  <w:style w:type="character" w:styleId="23" w:customStyle="1">
    <w:name w:val="Неразрешенное упоминание2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e05a4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>
    <w:name w:val="Title"/>
    <w:basedOn w:val="Normal"/>
    <w:next w:val="Normal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2">
    <w:name w:val="Subtitle"/>
    <w:basedOn w:val="Normal"/>
    <w:next w:val="Normal"/>
    <w:link w:val="a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472C4" w:themeColor="accent1"/>
      <w:sz w:val="18"/>
      <w:szCs w:val="18"/>
    </w:rPr>
  </w:style>
  <w:style w:type="paragraph" w:styleId="Style23">
    <w:name w:val="Footnote Text"/>
    <w:basedOn w:val="Normal"/>
    <w:link w:val="ad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4">
    <w:name w:val="Endnote Text"/>
    <w:basedOn w:val="Normal"/>
    <w:link w:val="af0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3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4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f9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fb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1ACDC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EC4E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color="A0B7E1" w:themeColor="accent1" w:sz="12" w:space="0"/>
        </w:tcBorders>
      </w:tcPr>
    </w:tblStylePr>
    <w:tblStylePr w:type="lastRow">
      <w:rPr>
        <w:b/>
        <w:color w:val="A0B7E1" w:themeColor="accent1" w:themeTint="80" w:themeShade="95"/>
      </w:rPr>
      <w:tblPr/>
    </w:tblStylePr>
    <w:tblStylePr w:type="firstCol">
      <w:rPr>
        <w:b/>
        <w:color w:val="A0B7E1" w:themeColor="accent1" w:themeTint="80" w:themeShade="95"/>
      </w:rPr>
      <w:tblPr/>
    </w:tblStylePr>
    <w:tblStylePr w:type="lastCol">
      <w:rPr>
        <w:b/>
        <w:color w:val="A0B7E1"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val="F4B184" w:themeColor="accent2" w:themeTint="97" w:themeShade="95"/>
      </w:rPr>
      <w:tblPr/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 w:themeTint="fe" w:themeShade="95"/>
      </w:rPr>
      <w:tblPr/>
    </w:tblStylePr>
    <w:tblStylePr w:type="firstCol">
      <w:rPr>
        <w:b/>
        <w:color w:val="A5A5A5" w:themeColor="accent3" w:themeTint="fe" w:themeShade="95"/>
      </w:rPr>
      <w:tblPr/>
    </w:tblStylePr>
    <w:tblStylePr w:type="lastCol">
      <w:rPr>
        <w:b/>
        <w:color w:val="A5A5A5"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val="FFD865" w:themeColor="accent4" w:themeTint="9a" w:themeShade="95"/>
      </w:rPr>
      <w:tblPr/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0B7E1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color="A0B7E1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sz="4" w:space="0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color="auto" w:sz="0" w:space="0"/>
          <w:left w:val="single" w:color="A0B7E1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5A5A5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color="auto" w:sz="0" w:space="0"/>
          <w:left w:val="single" w:color="A5A5A5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2C6E7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color="A2C6E7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sz="4" w:space="0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color="auto" w:sz="0" w:space="0"/>
          <w:left w:val="single" w:color="A2C6E7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DD394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color="ADD394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color="auto" w:sz="0" w:space="0"/>
          <w:left w:val="single" w:color="ADD394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BC2E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5" w:themeColor="accent1" w:themeShade="95"/>
      </w:rPr>
      <w:tblPr/>
    </w:tblStylePr>
    <w:tblStylePr w:type="lastCol">
      <w:rPr>
        <w:b/>
        <w:color w:val="254175"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val="C9C9C9" w:themeColor="accent3" w:themeTint="98" w:themeShade="95"/>
      </w:rPr>
      <w:tblPr/>
    </w:tblStylePr>
    <w:tblStylePr w:type="lastCol">
      <w:rPr>
        <w:b/>
        <w:color w:val="C9C9C9"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color="9BC2E5" w:themeColor="accent5" w:sz="4" w:space="0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color="9BC2E5" w:themeColor="accent5" w:sz="4" w:space="0"/>
        </w:tcBorders>
      </w:tcPr>
    </w:tblStylePr>
    <w:tblStylePr w:type="firstCol">
      <w:rPr>
        <w:b/>
        <w:color w:val="9BC2E5" w:themeColor="accent5" w:themeTint="9a" w:themeShade="95"/>
      </w:rPr>
      <w:tblPr/>
    </w:tblStylePr>
    <w:tblStylePr w:type="lastCol">
      <w:rPr>
        <w:b/>
        <w:color w:val="9BC2E5"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val="A9D08E" w:themeColor="accent6" w:themeTint="98" w:themeShade="95"/>
      </w:rPr>
      <w:tblPr/>
    </w:tblStylePr>
    <w:tblStylePr w:type="lastCol">
      <w:rPr>
        <w:b/>
        <w:color w:val="A9D08E"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9C9C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color="auto" w:sz="0" w:space="0"/>
          <w:left w:val="single" w:color="C9C9C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BC2E5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color="9BC2E5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sz="4" w:space="0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color="auto" w:sz="0" w:space="0"/>
          <w:left w:val="single" w:color="9BC2E5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9D08E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color="auto" w:sz="0" w:space="0"/>
          <w:left w:val="single" w:color="A9D08E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BC2E5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C2E5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C2E5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rimorye.retaildays.ru/" TargetMode="External"/><Relationship Id="rId3" Type="http://schemas.openxmlformats.org/officeDocument/2006/relationships/hyperlink" Target="https://t.me/retailweek" TargetMode="External"/><Relationship Id="rId4" Type="http://schemas.openxmlformats.org/officeDocument/2006/relationships/hyperlink" Target="https://vk.com/retailweek" TargetMode="External"/><Relationship Id="rId5" Type="http://schemas.openxmlformats.org/officeDocument/2006/relationships/hyperlink" Target="mailto:pressa@retailevent.ru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BBF23-B34E-4DEA-A334-F9A1C9F8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LibreOffice/7.0.6.2$Linux_X86_64 LibreOffice_project/00$Build-2</Application>
  <AppVersion>15.0000</AppVersion>
  <Pages>1</Pages>
  <Words>297</Words>
  <Characters>2176</Characters>
  <CharactersWithSpaces>2466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2023-08-30T10:46:00Z</dcterms:created>
  <dc:creator>Михаил Савин</dc:creator>
  <dc:description/>
  <dc:language>ru-RU</dc:language>
  <cp:lastModifiedBy>Андрей Карпов</cp:lastModifiedBy>
  <dcterms:modified xsi:type="dcterms:W3CDTF">2023-08-30T10:46:00Z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