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15 полей, в </w:t>
      </w:r>
      <w:proofErr w:type="spellStart"/>
      <w:r w:rsidRPr="008A559D">
        <w:rPr>
          <w:rFonts w:ascii="Times New Roman" w:hAnsi="Times New Roman" w:cs="Times New Roman"/>
          <w:i/>
          <w:sz w:val="32"/>
          <w:szCs w:val="32"/>
        </w:rPr>
        <w:t>т.ч</w:t>
      </w:r>
      <w:proofErr w:type="spellEnd"/>
      <w:r w:rsidRPr="008A559D">
        <w:rPr>
          <w:rFonts w:ascii="Times New Roman" w:hAnsi="Times New Roman" w:cs="Times New Roman"/>
          <w:i/>
          <w:sz w:val="32"/>
          <w:szCs w:val="32"/>
        </w:rPr>
        <w:t>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срока давности </w:t>
      </w:r>
      <w:r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необходимости </w:t>
      </w:r>
      <w:r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>я доступа как в ЛК, так 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2"/>
    <w:rsid w:val="000C2DE2"/>
    <w:rsid w:val="001479D9"/>
    <w:rsid w:val="004D2CBC"/>
    <w:rsid w:val="00710912"/>
    <w:rsid w:val="007462CF"/>
    <w:rsid w:val="0074694D"/>
    <w:rsid w:val="007A3CBE"/>
    <w:rsid w:val="00857E9B"/>
    <w:rsid w:val="008A559D"/>
    <w:rsid w:val="009A2EB1"/>
    <w:rsid w:val="00D300C1"/>
    <w:rsid w:val="00EE305E"/>
    <w:rsid w:val="00F65775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Чекмышев Константин Николаевич</dc:creator>
  <cp:lastModifiedBy>Рябикова Маргарита Павловна</cp:lastModifiedBy>
  <cp:revision>2</cp:revision>
  <cp:lastPrinted>2022-04-25T06:17:00Z</cp:lastPrinted>
  <dcterms:created xsi:type="dcterms:W3CDTF">2022-05-04T01:15:00Z</dcterms:created>
  <dcterms:modified xsi:type="dcterms:W3CDTF">2022-05-04T01:15:00Z</dcterms:modified>
</cp:coreProperties>
</file>