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contextualSpacing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Первичные средства пожаротушения и порядок их применения  при пожаре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contextualSpacing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Для борьбы с пожарами на начальной стадии его развития используются первичные средства пожаротушения. 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Первичные средства пожаротушения необходимы для ликвидации небольших возгораний и ограничения распространения пожара. Это сводит к минимуму причиняемый возгоранием ущерб имуществу, конструкциям жилого дома, а также способствует предотвращению гибели на пожарах людей.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первичным средствам пожаротушения относятся переносные и передвижные огнетушители, пожарные краны, пожарный инвентарь, покрывала для изоляции очага пожара. 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качестве огнетушащих средств могут быть использованы:</w:t>
      </w:r>
    </w:p>
    <w:tbl>
      <w:tblPr>
        <w:tblW w:w="988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4"/>
        <w:gridCol w:w="4223"/>
      </w:tblGrid>
      <w:tr>
        <w:trPr/>
        <w:tc>
          <w:tcPr>
            <w:tcW w:w="5664" w:type="dxa"/>
            <w:tcBorders/>
          </w:tcPr>
          <w:p>
            <w:pPr>
              <w:pStyle w:val="Normal"/>
              <w:bidi w:val="0"/>
              <w:spacing w:lineRule="auto" w:line="276" w:before="0" w:after="0"/>
              <w:ind w:left="-108" w:right="0" w:firstLine="709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Вода -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самое распространенное средство для тушения огня. Огнетушащий эффект воды заключается в охлаждении горящих материалов и очага пожара. Вода электропроводна, поэтому ее нельзя использовать для тушения сетей и установок, находящихся под напряжением. При попадании воды на электрические провода может возникнуть короткое замыкание и удар электрическим током. Также вода неэффективна при тушении горящего масла, так как она легче большинства легковоспламеняющихся и горючих жидкостей. Тушение масел и других горючих жидкостей водой приводит к увеличению площади горения. </w:t>
            </w:r>
          </w:p>
        </w:tc>
        <w:tc>
          <w:tcPr>
            <w:tcW w:w="4223" w:type="dxa"/>
            <w:tcBorders/>
            <w:vAlign w:val="center"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77470</wp:posOffset>
                      </wp:positionV>
                      <wp:extent cx="497840" cy="171450"/>
                      <wp:effectExtent l="0" t="0" r="0" b="0"/>
                      <wp:wrapNone/>
                      <wp:docPr id="1" name="Прямоугольник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160" cy="17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5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" fillcolor="white" stroked="f" style="position:absolute;margin-left:166.25pt;margin-top:6.1pt;width:39.1pt;height:13.4pt">
                      <w10:wrap type="none"/>
                      <v:fill o:detectmouseclick="t" type="solid" color2="black"/>
                      <v:stroke color="#3465a4" weight="25560" joinstyle="round" endcap="flat"/>
                    </v:rect>
                  </w:pict>
                </mc:Fallback>
              </mc:AlternateContent>
              <w:drawing>
                <wp:inline distT="0" distB="0" distL="0" distR="0">
                  <wp:extent cx="2094230" cy="2017395"/>
                  <wp:effectExtent l="0" t="0" r="0" b="0"/>
                  <wp:docPr id="2" name="Рисунок 8" descr="G:\Картинки\ve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 descr="G:\Картинки\ved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Рис. 1 – пожарное ведро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Песок и земля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 успехом применяются для тушения небольших очагов горения, в том числе разливов горючих жидкостей (керосина, бензина, масла, смолы и др.) Насыпать песок следует по внешней кромке горящей зоны, стараясь окружать песком место горения, препятствуя дальнейшему растеканию жидкости. Затем при помощи лопаты нужно покрыть горящую поверхность слоем песка, который впитает жидкость.</w:t>
            </w:r>
          </w:p>
        </w:tc>
        <w:tc>
          <w:tcPr>
            <w:tcW w:w="4223" w:type="dxa"/>
            <w:tcBorders/>
            <w:vAlign w:val="center"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/>
            </w:pPr>
            <w:r>
              <w:rPr/>
              <w:drawing>
                <wp:inline distT="0" distB="0" distL="0" distR="0">
                  <wp:extent cx="1878330" cy="1790700"/>
                  <wp:effectExtent l="0" t="0" r="0" b="0"/>
                  <wp:docPr id="3" name="Рисунок 9" descr="G:\Картинки\Пес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9" descr="G:\Картинки\Пес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Рис. 2 – ящик с песком</w:t>
            </w:r>
          </w:p>
        </w:tc>
      </w:tr>
      <w:tr>
        <w:trPr>
          <w:trHeight w:val="3555" w:hRule="atLeast"/>
        </w:trPr>
        <w:tc>
          <w:tcPr>
            <w:tcW w:w="5664" w:type="dxa"/>
            <w:tcBorders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Противопожарное полотно (кошма)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предназначена для изоляции очага горения от доступа воздуха. Этот метод очень эффективен, но применяется лишь при небольшом очаге горения. Нельзя использовать для тушения синтетические ткани, которые легко плавятся и разлагаются под воздействием огня, выделяя токсичные газы. Продукты разложения синтетики, как правило, сами являются горючими и способны к внезапной вспышке.</w:t>
            </w:r>
          </w:p>
        </w:tc>
        <w:tc>
          <w:tcPr>
            <w:tcW w:w="4223" w:type="dxa"/>
            <w:tcBorders/>
            <w:vAlign w:val="center"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/>
            </w:pPr>
            <w:r>
              <w:rPr/>
              <w:drawing>
                <wp:inline distT="0" distB="0" distL="0" distR="0">
                  <wp:extent cx="2094230" cy="1739900"/>
                  <wp:effectExtent l="0" t="0" r="0" b="0"/>
                  <wp:docPr id="4" name="Рисунок 11" descr="G:\Картинки\Кош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 descr="G:\Картинки\Кош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Рис. 3 - кошма</w:t>
            </w:r>
          </w:p>
        </w:tc>
      </w:tr>
    </w:tbl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Ог</w:t>
      </w:r>
      <w:r>
        <w:rPr>
          <w:rFonts w:cs="Times New Roman" w:ascii="Times New Roman" w:hAnsi="Times New Roman"/>
          <w:b/>
          <w:sz w:val="26"/>
          <w:szCs w:val="26"/>
        </w:rPr>
        <w:t xml:space="preserve">нетушитель </w:t>
      </w:r>
      <w:r>
        <w:rPr>
          <w:rFonts w:cs="Times New Roman" w:ascii="Times New Roman" w:hAnsi="Times New Roman"/>
          <w:sz w:val="26"/>
          <w:szCs w:val="26"/>
        </w:rPr>
        <w:t xml:space="preserve">– это переносное или передвижное устройство, предназначенное для тушения очага пожара за счет выпуска огнетушащего вещества. </w:t>
      </w:r>
    </w:p>
    <w:tbl>
      <w:tblPr>
        <w:tblW w:w="9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860"/>
      </w:tblGrid>
      <w:tr>
        <w:trPr/>
        <w:tc>
          <w:tcPr>
            <w:tcW w:w="5920" w:type="dxa"/>
            <w:tcBorders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Огнетушитель на основе двуокиси углерода (углекислотный огнетушитель)</w:t>
            </w:r>
          </w:p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Углекислотный огнетушитель является наиболее оптимальным вариантом для жилых помещений, в первую очередь это связано с большим количеством пожарной нагрузки в помещениях, также углекислотный огнетушитель является наиболее эффективным для тушения возгорания бытовой техники или проводки. Одно из явных преимуществ углекислотных огнетушителей – его безопасность для здоровья человека. </w:t>
            </w:r>
          </w:p>
        </w:tc>
        <w:tc>
          <w:tcPr>
            <w:tcW w:w="3860" w:type="dxa"/>
            <w:tcBorders/>
            <w:vAlign w:val="center"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center"/>
              <w:rPr/>
            </w:pPr>
            <w:r>
              <w:rPr/>
              <w:drawing>
                <wp:inline distT="0" distB="0" distL="0" distR="0">
                  <wp:extent cx="1752600" cy="1752600"/>
                  <wp:effectExtent l="0" t="0" r="0" b="0"/>
                  <wp:docPr id="5" name="Рисунок 12" descr="G:\Картинки\О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2" descr="G:\Картинки\О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bidi w:val="0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Рис. 4 – углекислотный огнетушитель</w:t>
            </w:r>
          </w:p>
        </w:tc>
      </w:tr>
      <w:tr>
        <w:trPr/>
        <w:tc>
          <w:tcPr>
            <w:tcW w:w="5920" w:type="dxa"/>
            <w:tcBorders/>
          </w:tcPr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Огнетушители порошкового типа (порошковые огнетушители)</w:t>
            </w:r>
          </w:p>
          <w:p>
            <w:pPr>
              <w:pStyle w:val="Normal"/>
              <w:bidi w:val="0"/>
              <w:spacing w:lineRule="auto" w:line="276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Огнетушители порошкового типа применяются в основном для тушения легковоспламеняющихся и горючих жидкостей. Принцип действия порошкового огнетушителя основан на выпуске под давлением порошка, который изолирует очаг возгорания, тем самым ликвидируя его. Использование данного типа огнетушителя приводит к образованию токсичного облака, которое в тесном пространстве небезопасно для здоровья человека. Также после оседания облака порошка пострадает и все имущество, находящееся в помещении.</w:t>
            </w:r>
          </w:p>
        </w:tc>
        <w:tc>
          <w:tcPr>
            <w:tcW w:w="3860" w:type="dxa"/>
            <w:tcBorders/>
            <w:vAlign w:val="center"/>
          </w:tcPr>
          <w:p>
            <w:pPr>
              <w:pStyle w:val="Normal"/>
              <w:bidi w:val="0"/>
              <w:spacing w:lineRule="auto" w:line="276" w:before="0" w:after="0"/>
              <w:jc w:val="right"/>
              <w:rPr/>
            </w:pPr>
            <w:r>
              <w:rPr/>
              <w:drawing>
                <wp:inline distT="0" distB="0" distL="0" distR="0">
                  <wp:extent cx="1450340" cy="1450340"/>
                  <wp:effectExtent l="0" t="0" r="0" b="0"/>
                  <wp:docPr id="6" name="Рисунок 13" descr="G:\Картинки\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3" descr="G:\Картинки\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bidi w:val="0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Рис. 5 – порошковый огнетушитель</w:t>
            </w:r>
          </w:p>
        </w:tc>
      </w:tr>
    </w:tbl>
    <w:p>
      <w:pPr>
        <w:pStyle w:val="Style15"/>
        <w:bidi w:val="0"/>
        <w:spacing w:lineRule="auto" w:line="276" w:before="0" w:after="14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При установке огнетушителя в жилом помещении необходимо внимательно ознакомиться с инструкцией по его применению, следить за сроками годности огнетушителя и при необходимости перезаряжать емкость огнетушащим составом.</w:t>
      </w:r>
    </w:p>
    <w:p>
      <w:pPr>
        <w:pStyle w:val="Style15"/>
        <w:bidi w:val="0"/>
        <w:spacing w:lineRule="auto" w:line="276" w:before="0" w:after="14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Важно помнить, что огнетушитель может помочь только в случае своевременного использования на ранней стадии пожара. Именно поэтому следует выбрать оптимальное и легкодоступное место для размещения и хранения огнетушителя. Также, рекомендуется, после использования огнетушителя, когда открытый очаг пожар уже не наблюдается, пролить место возникновения пожара водой и разобрать сгоревшие вещи.</w:t>
      </w:r>
    </w:p>
    <w:p>
      <w:pPr>
        <w:pStyle w:val="Style15"/>
        <w:bidi w:val="0"/>
        <w:spacing w:lineRule="auto" w:line="276" w:before="0" w:after="140"/>
        <w:ind w:left="0" w:right="0" w:firstLine="737"/>
        <w:jc w:val="both"/>
        <w:rPr>
          <w:sz w:val="26"/>
          <w:szCs w:val="26"/>
        </w:rPr>
      </w:pPr>
      <w:r>
        <w:rPr/>
      </w:r>
    </w:p>
    <w:p>
      <w:pPr>
        <w:pStyle w:val="Style15"/>
        <w:spacing w:lineRule="auto" w:line="240"/>
        <w:jc w:val="right"/>
        <w:rPr/>
      </w:pPr>
      <w:r>
        <w:rPr/>
        <w:t>Отдел надзорной деятельности и профилактической работы</w:t>
      </w:r>
    </w:p>
    <w:p>
      <w:pPr>
        <w:pStyle w:val="Style15"/>
        <w:spacing w:lineRule="auto" w:line="240"/>
        <w:jc w:val="right"/>
        <w:rPr/>
      </w:pPr>
      <w:r>
        <w:rPr/>
        <w:t>по г. Дальнереченску и Дальнереченскому муниципальному району</w:t>
      </w:r>
    </w:p>
    <w:p>
      <w:pPr>
        <w:pStyle w:val="Style15"/>
        <w:spacing w:lineRule="auto" w:line="240" w:before="0" w:after="140"/>
        <w:jc w:val="right"/>
        <w:rPr/>
      </w:pPr>
      <w:r>
        <w:rPr/>
        <w:t>УНДиПР Главного управления МЧС России по Приморскому краю</w:t>
      </w:r>
    </w:p>
    <w:sectPr>
      <w:type w:val="nextPage"/>
      <w:pgSz w:w="11906" w:h="16838"/>
      <w:pgMar w:left="1134" w:right="630" w:header="0" w:top="554" w:footer="0" w:bottom="69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LibreOffice/6.4.7.2$Linux_X86_64 LibreOffice_project/40$Build-2</Application>
  <Pages>2</Pages>
  <Words>507</Words>
  <Characters>3561</Characters>
  <CharactersWithSpaces>4057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2022-05-13T11:26:04Z</dcterms:created>
  <dc:creator/>
  <dc:description/>
  <dc:language>ru-RU</dc:language>
  <cp:lastModifiedBy/>
  <dcterms:modified xsi:type="dcterms:W3CDTF">2022-05-13T11:37:27Z</dcterms:modified>
  <cp:revision>2</cp:revision>
  <dc:subject/>
  <dc:title/>
</cp:coreProperties>
</file>