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media/image5.jpeg" ContentType="image/jpeg"/>
  <Override PartName="/word/media/image1.jpeg" ContentType="image/jpeg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0"/>
        </w:numPr>
        <w:bidi w:val="0"/>
        <w:spacing w:before="0" w:after="0"/>
        <w:ind w:left="720" w:right="0" w:hanging="0"/>
        <w:contextualSpacing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Первичные средства пожаротушения и порядок их применения  при пожаре</w:t>
      </w:r>
    </w:p>
    <w:p>
      <w:pPr>
        <w:pStyle w:val="ListParagraph"/>
        <w:numPr>
          <w:ilvl w:val="0"/>
          <w:numId w:val="0"/>
        </w:numPr>
        <w:bidi w:val="0"/>
        <w:spacing w:before="0" w:after="0"/>
        <w:ind w:left="720" w:right="0" w:hanging="0"/>
        <w:contextualSpacing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Для борьбы с пожарами на начальной стадии его развития используются первичные средства пожаротушения. 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Первичные средства пожаротушения необходимы для ликвидации небольших возгораний и ограничения распространения пожара. Это сводит к минимуму причиняемый возгоранием ущерб имуществу, конструкциям жилого дома, а также способствует предотвращению гибели на пожарах людей.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 первичным средствам пожаротушения относятся переносные и передвижные огнетушители, пожарные краны, пожарный инвентарь, покрывала для изоляции очага пожара. 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качестве огнетушащих средств могут быть использованы:</w:t>
      </w:r>
    </w:p>
    <w:tbl>
      <w:tblPr>
        <w:tblW w:w="988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4"/>
        <w:gridCol w:w="4223"/>
      </w:tblGrid>
      <w:tr>
        <w:trPr/>
        <w:tc>
          <w:tcPr>
            <w:tcW w:w="5664" w:type="dxa"/>
            <w:tcBorders/>
          </w:tcPr>
          <w:p>
            <w:pPr>
              <w:pStyle w:val="Normal"/>
              <w:bidi w:val="0"/>
              <w:spacing w:lineRule="auto" w:line="276" w:before="0" w:after="0"/>
              <w:ind w:left="-108" w:right="0" w:firstLine="709"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Вода -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самое распространенное средство для тушения огня. Огнетушащий эффект воды заключается в охлаждении горящих материалов и очага пожара. Вода электропроводна, поэтому ее нельзя использовать для тушения сетей и установок, находящихся под напряжением. При попадании воды на электрические провода может возникнуть короткое замыкание и удар электрическим током. Также вода неэффективна при тушении горящего масла, так как она легче большинства легковоспламеняющихся и горючих жидкостей. Тушение масел и других горючих жидкостей водой приводит к увеличению площади горения. </w:t>
            </w:r>
          </w:p>
        </w:tc>
        <w:tc>
          <w:tcPr>
            <w:tcW w:w="4223" w:type="dxa"/>
            <w:tcBorders/>
            <w:vAlign w:val="center"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77470</wp:posOffset>
                      </wp:positionV>
                      <wp:extent cx="497840" cy="171450"/>
                      <wp:effectExtent l="0" t="0" r="0" b="0"/>
                      <wp:wrapNone/>
                      <wp:docPr id="1" name="Прямоугольник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160" cy="17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fillcolor="white" stroked="f" style="position:absolute;margin-left:166.25pt;margin-top:6.1pt;width:39.1pt;height:13.4pt">
                      <w10:wrap type="none"/>
                      <v:fill o:detectmouseclick="t" type="solid" color2="black"/>
                      <v:stroke color="#3465a4" weight="25560" joinstyle="round" endcap="flat"/>
                    </v:rect>
                  </w:pict>
                </mc:Fallback>
              </mc:AlternateContent>
              <w:drawing>
                <wp:inline distT="0" distB="0" distL="0" distR="0">
                  <wp:extent cx="2094230" cy="2017395"/>
                  <wp:effectExtent l="0" t="0" r="0" b="0"/>
                  <wp:docPr id="2" name="Рисунок 8" descr="G:\Картинки\ve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G:\Картинки\ve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30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Рис. 1 – пожарное ведро</w:t>
            </w:r>
          </w:p>
        </w:tc>
      </w:tr>
      <w:tr>
        <w:trPr/>
        <w:tc>
          <w:tcPr>
            <w:tcW w:w="5664" w:type="dxa"/>
            <w:tcBorders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Песок и земля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 успехом применяются для тушения небольших очагов горения, в том числе разливов горючих жидкостей (керосина, бензина, масла, смолы и др.) Насыпать песок следует по внешней кромке горящей зоны, стараясь окружать песком место горения, препятствуя дальнейшему растеканию жидкости. Затем при помощи лопаты нужно покрыть горящую поверхность слоем песка, который впитает жидкость.</w:t>
            </w:r>
          </w:p>
        </w:tc>
        <w:tc>
          <w:tcPr>
            <w:tcW w:w="4223" w:type="dxa"/>
            <w:tcBorders/>
            <w:vAlign w:val="center"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/>
            </w:pPr>
            <w:r>
              <w:rPr/>
              <w:drawing>
                <wp:inline distT="0" distB="0" distL="0" distR="0">
                  <wp:extent cx="1878330" cy="1790700"/>
                  <wp:effectExtent l="0" t="0" r="0" b="0"/>
                  <wp:docPr id="3" name="Рисунок 9" descr="G:\Картинки\Пес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9" descr="G:\Картинки\Пес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Рис. 2 – ящик с песком</w:t>
            </w:r>
          </w:p>
        </w:tc>
      </w:tr>
      <w:tr>
        <w:trPr>
          <w:trHeight w:val="3555" w:hRule="atLeast"/>
        </w:trPr>
        <w:tc>
          <w:tcPr>
            <w:tcW w:w="5664" w:type="dxa"/>
            <w:tcBorders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Противопожарное полотно (кошма)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предназначена для изоляции очага горения от доступа воздуха. Этот метод очень эффективен, но применяется лишь при небольшом очаге горения. Нельзя использовать для тушения синтетические ткани, которые легко плавятся и разлагаются под воздействием огня, выделяя токсичные газы. Продукты разложения синтетики, как правило, сами являются горючими и способны к внезапной вспышке.</w:t>
            </w:r>
          </w:p>
        </w:tc>
        <w:tc>
          <w:tcPr>
            <w:tcW w:w="4223" w:type="dxa"/>
            <w:tcBorders/>
            <w:vAlign w:val="center"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/>
            </w:pPr>
            <w:r>
              <w:rPr/>
              <w:drawing>
                <wp:inline distT="0" distB="0" distL="0" distR="0">
                  <wp:extent cx="2094230" cy="1739900"/>
                  <wp:effectExtent l="0" t="0" r="0" b="0"/>
                  <wp:docPr id="4" name="Рисунок 11" descr="G:\Картинки\Кош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 descr="G:\Картинки\Кош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3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Рис. 3 - кошма</w:t>
            </w:r>
          </w:p>
        </w:tc>
      </w:tr>
    </w:tbl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Ог</w:t>
      </w:r>
      <w:r>
        <w:rPr>
          <w:rFonts w:cs="Times New Roman" w:ascii="Times New Roman" w:hAnsi="Times New Roman"/>
          <w:b/>
          <w:sz w:val="26"/>
          <w:szCs w:val="26"/>
        </w:rPr>
        <w:t xml:space="preserve">нетушитель </w:t>
      </w:r>
      <w:r>
        <w:rPr>
          <w:rFonts w:cs="Times New Roman" w:ascii="Times New Roman" w:hAnsi="Times New Roman"/>
          <w:sz w:val="26"/>
          <w:szCs w:val="26"/>
        </w:rPr>
        <w:t xml:space="preserve">– это переносное или передвижное устройство, предназначенное для тушения очага пожара за счет выпуска огнетушащего вещества. </w:t>
      </w:r>
    </w:p>
    <w:tbl>
      <w:tblPr>
        <w:tblW w:w="9781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3860"/>
      </w:tblGrid>
      <w:tr>
        <w:trPr/>
        <w:tc>
          <w:tcPr>
            <w:tcW w:w="5920" w:type="dxa"/>
            <w:tcBorders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Огнетушитель на основе двуокиси углерода (углекислотный огнетушитель)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Углекислотный огнетушитель является наиболее оптимальным вариантом для жилых помещений, в первую очередь это связано с большим количеством пожарной нагрузки в помещениях, также углекислотный огнетушитель является наиболее эффективным для тушения возгорания бытовой техники или проводки. Одно из явных преимуществ углекислотных огнетушителей – его безопасность для здоровья человека. </w:t>
            </w:r>
          </w:p>
        </w:tc>
        <w:tc>
          <w:tcPr>
            <w:tcW w:w="3860" w:type="dxa"/>
            <w:tcBorders/>
            <w:vAlign w:val="center"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center"/>
              <w:rPr/>
            </w:pPr>
            <w:r>
              <w:rPr/>
              <w:drawing>
                <wp:inline distT="0" distB="0" distL="0" distR="0">
                  <wp:extent cx="1752600" cy="1752600"/>
                  <wp:effectExtent l="0" t="0" r="0" b="0"/>
                  <wp:docPr id="5" name="Рисунок 12" descr="G:\Картинки\О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" descr="G:\Картинки\О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bidi w:val="0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Рис. 4 – углекислотный огнетушитель</w:t>
            </w:r>
          </w:p>
        </w:tc>
      </w:tr>
      <w:tr>
        <w:trPr/>
        <w:tc>
          <w:tcPr>
            <w:tcW w:w="5920" w:type="dxa"/>
            <w:tcBorders/>
          </w:tcPr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Огнетушители порошкового типа (порошковые огнетушители)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Огнетушители порошкового типа применяются в основном для тушения легковоспламеняющихся и горючих жидкостей. Принцип действия порошкового огнетушителя основан на выпуске под давлением порошка, который изолирует очаг возгорания, тем самым ликвидируя его. Использование данного типа огнетушителя приводит к образованию токсичного облака, которое в тесном пространстве небезопасно для здоровья человека. Также после оседания облака порошка пострадает и все имущество, находящееся в помещении.</w:t>
            </w:r>
          </w:p>
        </w:tc>
        <w:tc>
          <w:tcPr>
            <w:tcW w:w="3860" w:type="dxa"/>
            <w:tcBorders/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right"/>
              <w:rPr/>
            </w:pPr>
            <w:r>
              <w:rPr/>
              <w:drawing>
                <wp:inline distT="0" distB="0" distL="0" distR="0">
                  <wp:extent cx="1450340" cy="1450340"/>
                  <wp:effectExtent l="0" t="0" r="0" b="0"/>
                  <wp:docPr id="6" name="Рисунок 13" descr="G:\Картинки\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G:\Картинки\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4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bidi w:val="0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Рис. 5 – порошковый огнетушитель</w:t>
            </w:r>
          </w:p>
        </w:tc>
      </w:tr>
    </w:tbl>
    <w:p>
      <w:pPr>
        <w:pStyle w:val="Style15"/>
        <w:bidi w:val="0"/>
        <w:spacing w:lineRule="auto" w:line="276" w:before="0" w:after="140"/>
        <w:ind w:left="0" w:right="0" w:firstLine="737"/>
        <w:jc w:val="both"/>
        <w:rPr>
          <w:sz w:val="26"/>
          <w:szCs w:val="26"/>
        </w:rPr>
      </w:pPr>
      <w:r>
        <w:rPr>
          <w:sz w:val="26"/>
          <w:szCs w:val="26"/>
        </w:rPr>
        <w:t>При установке огнетушителя в жилом помещении необходимо внимательно ознакомиться с инструкцией по его применению, следить за сроками годности огнетушителя и при необходимости перезаряжать емкость огнетушащим составом.</w:t>
      </w:r>
    </w:p>
    <w:p>
      <w:pPr>
        <w:pStyle w:val="Style15"/>
        <w:bidi w:val="0"/>
        <w:spacing w:lineRule="auto" w:line="276" w:before="0" w:after="140"/>
        <w:ind w:left="0" w:right="0" w:firstLine="737"/>
        <w:jc w:val="both"/>
        <w:rPr>
          <w:sz w:val="26"/>
          <w:szCs w:val="26"/>
        </w:rPr>
      </w:pPr>
      <w:r>
        <w:rPr>
          <w:sz w:val="26"/>
          <w:szCs w:val="26"/>
        </w:rPr>
        <w:t>Важно помнить, что огнетушитель может помочь только в случае своевременного использования на ранней стадии пожара. Именно поэтому следует выбрать оптимальное и легкодоступное место для размещения и хранения огнетушителя. Также, рекомендуется, после использования огнетушителя, когда открытый очаг пожар уже не наблюдается, пролить место возникновения пожара водой и разобрать сгоревшие вещи.</w:t>
      </w:r>
    </w:p>
    <w:p>
      <w:pPr>
        <w:pStyle w:val="Style15"/>
        <w:bidi w:val="0"/>
        <w:spacing w:lineRule="auto" w:line="276" w:before="0" w:after="140"/>
        <w:ind w:left="0" w:right="0" w:firstLine="737"/>
        <w:jc w:val="both"/>
        <w:rPr>
          <w:sz w:val="26"/>
          <w:szCs w:val="26"/>
        </w:rPr>
      </w:pPr>
      <w:r>
        <w:rPr/>
      </w:r>
    </w:p>
    <w:p>
      <w:pPr>
        <w:pStyle w:val="Style15"/>
        <w:spacing w:lineRule="auto" w:line="240"/>
        <w:jc w:val="right"/>
        <w:rPr/>
      </w:pPr>
      <w:r>
        <w:rPr/>
        <w:t>Отдел надзорной деятельности и профилактической работы</w:t>
      </w:r>
    </w:p>
    <w:p>
      <w:pPr>
        <w:pStyle w:val="Style15"/>
        <w:spacing w:lineRule="auto" w:line="240"/>
        <w:jc w:val="right"/>
        <w:rPr/>
      </w:pPr>
      <w:r>
        <w:rPr/>
        <w:t>по г. Дальнереченску и Дальнереченскому муниципальному району</w:t>
      </w:r>
    </w:p>
    <w:p>
      <w:pPr>
        <w:pStyle w:val="Style15"/>
        <w:spacing w:lineRule="auto" w:line="240" w:before="0" w:after="140"/>
        <w:jc w:val="right"/>
        <w:rPr/>
      </w:pPr>
      <w:r>
        <w:rPr/>
        <w:t>УНДиПР Главного управления МЧС России по Приморскому краю</w:t>
      </w:r>
    </w:p>
    <w:sectPr>
      <w:type w:val="nextPage"/>
      <w:pgSz w:w="11906" w:h="16838"/>
      <w:pgMar w:left="1134" w:right="630" w:header="0" w:top="554" w:footer="0" w:bottom="69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PT Astra Serif" w:hAnsi="PT Astra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LibreOffice/6.4.7.2$Linux_X86_64 LibreOffice_project/40$Build-2</Application>
  <Pages>2</Pages>
  <Words>507</Words>
  <Characters>3561</Characters>
  <CharactersWithSpaces>4057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2022-05-13T11:26:04Z</dcterms:created>
  <dc:creator/>
  <dc:description/>
  <dc:language>ru-RU</dc:language>
  <cp:lastModifiedBy/>
  <dcterms:modified xsi:type="dcterms:W3CDTF">2022-05-13T11:37:27Z</dcterms:modified>
  <cp:revision>2</cp:revision>
  <dc:subject/>
  <dc:title/>
</cp:coreProperties>
</file>