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E8" w:rsidRPr="00B302E8" w:rsidRDefault="00B302E8" w:rsidP="00B30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ПРОЕКТ</w:t>
      </w:r>
    </w:p>
    <w:p w:rsidR="00B302E8" w:rsidRPr="00B302E8" w:rsidRDefault="00B302E8" w:rsidP="00B302E8">
      <w:pPr>
        <w:rPr>
          <w:rFonts w:ascii="Times New Roman" w:hAnsi="Times New Roman" w:cs="Times New Roman"/>
          <w:b/>
          <w:sz w:val="32"/>
          <w:szCs w:val="32"/>
        </w:rPr>
      </w:pPr>
      <w:r w:rsidRPr="00B302E8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B302E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2E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B302E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B302E8" w:rsidRPr="00B302E8" w:rsidRDefault="00B302E8" w:rsidP="00B302E8">
      <w:pPr>
        <w:tabs>
          <w:tab w:val="left" w:pos="8820"/>
        </w:tabs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E8">
        <w:rPr>
          <w:rFonts w:ascii="Times New Roman" w:hAnsi="Times New Roman" w:cs="Times New Roman"/>
          <w:b/>
          <w:sz w:val="28"/>
          <w:szCs w:val="28"/>
        </w:rPr>
        <w:t xml:space="preserve">     АДМИНИСТРАЦИЯ </w:t>
      </w:r>
    </w:p>
    <w:p w:rsidR="00B302E8" w:rsidRPr="00B302E8" w:rsidRDefault="00B302E8" w:rsidP="00B302E8">
      <w:pPr>
        <w:tabs>
          <w:tab w:val="left" w:pos="8820"/>
        </w:tabs>
        <w:ind w:right="-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E8">
        <w:rPr>
          <w:rFonts w:ascii="Times New Roman" w:hAnsi="Times New Roman" w:cs="Times New Roman"/>
          <w:b/>
          <w:sz w:val="28"/>
          <w:szCs w:val="28"/>
        </w:rPr>
        <w:t xml:space="preserve">ДАЛЬНЕРЕЧЕНСКОГО ГОРОДСКОГО ОКРУГА </w:t>
      </w:r>
    </w:p>
    <w:p w:rsidR="00B302E8" w:rsidRPr="00B302E8" w:rsidRDefault="00B302E8" w:rsidP="00B302E8">
      <w:pPr>
        <w:tabs>
          <w:tab w:val="left" w:pos="8820"/>
        </w:tabs>
        <w:ind w:right="76"/>
        <w:jc w:val="center"/>
        <w:rPr>
          <w:rFonts w:ascii="Times New Roman" w:hAnsi="Times New Roman" w:cs="Times New Roman"/>
          <w:sz w:val="28"/>
          <w:szCs w:val="28"/>
        </w:rPr>
      </w:pPr>
      <w:r w:rsidRPr="00B302E8">
        <w:rPr>
          <w:rFonts w:ascii="Times New Roman" w:hAnsi="Times New Roman" w:cs="Times New Roman"/>
        </w:rPr>
        <w:t xml:space="preserve">          </w:t>
      </w:r>
      <w:r w:rsidRPr="00B302E8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B302E8" w:rsidRPr="00B302E8" w:rsidRDefault="00B302E8" w:rsidP="00B302E8">
      <w:pPr>
        <w:tabs>
          <w:tab w:val="left" w:pos="8820"/>
        </w:tabs>
        <w:ind w:right="76"/>
        <w:jc w:val="center"/>
        <w:rPr>
          <w:rStyle w:val="FontStyle12"/>
          <w:bCs w:val="0"/>
          <w:spacing w:val="0"/>
          <w:sz w:val="28"/>
          <w:szCs w:val="28"/>
        </w:rPr>
      </w:pPr>
    </w:p>
    <w:p w:rsidR="00B302E8" w:rsidRPr="00B302E8" w:rsidRDefault="00B302E8" w:rsidP="00B302E8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B302E8">
        <w:rPr>
          <w:rStyle w:val="FontStyle12"/>
          <w:b w:val="0"/>
          <w:sz w:val="28"/>
          <w:szCs w:val="28"/>
        </w:rPr>
        <w:t xml:space="preserve">  ПОСТАНОВЛЕНИЕ</w:t>
      </w:r>
    </w:p>
    <w:p w:rsidR="00B302E8" w:rsidRPr="00B302E8" w:rsidRDefault="00B302E8" w:rsidP="00B302E8">
      <w:pPr>
        <w:rPr>
          <w:rFonts w:ascii="Times New Roman" w:hAnsi="Times New Roman" w:cs="Times New Roman"/>
          <w:sz w:val="28"/>
          <w:szCs w:val="28"/>
        </w:rPr>
      </w:pPr>
    </w:p>
    <w:p w:rsidR="00B302E8" w:rsidRPr="00B302E8" w:rsidRDefault="00B302E8" w:rsidP="00B302E8">
      <w:pPr>
        <w:rPr>
          <w:rFonts w:ascii="Times New Roman" w:hAnsi="Times New Roman" w:cs="Times New Roman"/>
          <w:spacing w:val="10"/>
          <w:sz w:val="28"/>
          <w:szCs w:val="28"/>
          <w:u w:val="single"/>
        </w:rPr>
      </w:pPr>
      <w:r w:rsidRPr="00B302E8">
        <w:rPr>
          <w:rFonts w:ascii="Times New Roman" w:hAnsi="Times New Roman" w:cs="Times New Roman"/>
          <w:sz w:val="28"/>
          <w:szCs w:val="28"/>
        </w:rPr>
        <w:t xml:space="preserve">« __ » _________  2021 </w:t>
      </w:r>
      <w:r w:rsidRPr="00B302E8">
        <w:rPr>
          <w:rStyle w:val="FontStyle11"/>
          <w:sz w:val="28"/>
          <w:szCs w:val="28"/>
        </w:rPr>
        <w:t xml:space="preserve">г.              г. Дальнереченск                         № </w:t>
      </w:r>
      <w:r w:rsidRPr="00B302E8">
        <w:rPr>
          <w:rFonts w:ascii="Times New Roman" w:hAnsi="Times New Roman" w:cs="Times New Roman"/>
          <w:sz w:val="28"/>
          <w:szCs w:val="28"/>
        </w:rPr>
        <w:t>___</w:t>
      </w:r>
    </w:p>
    <w:p w:rsidR="00B302E8" w:rsidRPr="00B302E8" w:rsidRDefault="00B302E8" w:rsidP="00B302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2E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«Программы профилактики рисков причинения (ущерба) охраняемым законом ценностям по муниципальному контролю в сфере благоустройства на территории </w:t>
      </w:r>
      <w:proofErr w:type="spellStart"/>
      <w:r w:rsidRPr="00B302E8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B302E8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2022 год»</w:t>
      </w:r>
    </w:p>
    <w:p w:rsidR="00B302E8" w:rsidRPr="00B302E8" w:rsidRDefault="00B302E8" w:rsidP="00B302E8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02E8" w:rsidRPr="00B302E8" w:rsidRDefault="00B302E8" w:rsidP="00B302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2E8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</w:t>
      </w:r>
      <w:proofErr w:type="spellStart"/>
      <w:r w:rsidRPr="00B302E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302E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</w:p>
    <w:p w:rsidR="00B302E8" w:rsidRPr="00B302E8" w:rsidRDefault="00B302E8" w:rsidP="00B302E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02E8">
        <w:rPr>
          <w:rFonts w:ascii="Times New Roman" w:hAnsi="Times New Roman" w:cs="Times New Roman"/>
          <w:sz w:val="28"/>
          <w:szCs w:val="28"/>
        </w:rPr>
        <w:t xml:space="preserve">   </w:t>
      </w:r>
      <w:r w:rsidRPr="00B302E8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B302E8" w:rsidRPr="00B302E8" w:rsidRDefault="00B302E8" w:rsidP="00B302E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2E8">
        <w:rPr>
          <w:rFonts w:ascii="Times New Roman" w:hAnsi="Times New Roman" w:cs="Times New Roman"/>
          <w:bCs/>
          <w:sz w:val="28"/>
          <w:szCs w:val="28"/>
        </w:rPr>
        <w:tab/>
        <w:t xml:space="preserve">1. Утвердить прилагаемую Программу профилактики рисков причинения (ущерба) охраняемым законом ценностям по муниципальному контролю в сфере благоустройства на территории </w:t>
      </w:r>
      <w:proofErr w:type="spellStart"/>
      <w:r w:rsidRPr="00B302E8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B302E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на 2022 год.</w:t>
      </w:r>
    </w:p>
    <w:p w:rsidR="00B302E8" w:rsidRPr="00B302E8" w:rsidRDefault="00B302E8" w:rsidP="00B302E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2E8">
        <w:rPr>
          <w:rFonts w:ascii="Times New Roman" w:hAnsi="Times New Roman" w:cs="Times New Roman"/>
          <w:bCs/>
          <w:sz w:val="28"/>
          <w:szCs w:val="28"/>
        </w:rPr>
        <w:t xml:space="preserve">          2. Настоящее постановление официально опубликовать путем размещения на официальном сайте </w:t>
      </w:r>
      <w:proofErr w:type="spellStart"/>
      <w:r w:rsidRPr="00B302E8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B302E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в информационно-</w:t>
      </w:r>
      <w:r w:rsidRPr="00B302E8">
        <w:rPr>
          <w:rFonts w:ascii="Times New Roman" w:hAnsi="Times New Roman" w:cs="Times New Roman"/>
          <w:bCs/>
          <w:sz w:val="28"/>
          <w:szCs w:val="28"/>
        </w:rPr>
        <w:lastRenderedPageBreak/>
        <w:t>телекоммуникационной сети «Интернет» в разделе «Отдел делопроизводства» сайта – «</w:t>
      </w:r>
      <w:r w:rsidRPr="00B302E8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B302E8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Pr="00B302E8">
        <w:rPr>
          <w:rFonts w:ascii="Times New Roman" w:hAnsi="Times New Roman" w:cs="Times New Roman"/>
          <w:bCs/>
          <w:sz w:val="28"/>
          <w:szCs w:val="28"/>
          <w:lang w:val="en-US"/>
        </w:rPr>
        <w:t>dalnerokrug</w:t>
      </w:r>
      <w:proofErr w:type="spellEnd"/>
      <w:r w:rsidRPr="00B302E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302E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302E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302E8" w:rsidRPr="00B302E8" w:rsidRDefault="00B302E8" w:rsidP="00B30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2E8">
        <w:rPr>
          <w:rFonts w:ascii="Times New Roman" w:hAnsi="Times New Roman" w:cs="Times New Roman"/>
          <w:bCs/>
          <w:sz w:val="28"/>
          <w:szCs w:val="28"/>
        </w:rPr>
        <w:t xml:space="preserve">          3. </w:t>
      </w:r>
      <w:proofErr w:type="gramStart"/>
      <w:r w:rsidRPr="00B302E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02E8"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оставляю за собой.</w:t>
      </w:r>
    </w:p>
    <w:p w:rsidR="00B302E8" w:rsidRP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P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  <w:r w:rsidRPr="00B302E8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B302E8" w:rsidRP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2E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02E8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02E8">
        <w:rPr>
          <w:rFonts w:ascii="Times New Roman" w:hAnsi="Times New Roman" w:cs="Times New Roman"/>
          <w:sz w:val="28"/>
          <w:szCs w:val="28"/>
        </w:rPr>
        <w:t xml:space="preserve">    С.В.Старков</w:t>
      </w:r>
    </w:p>
    <w:p w:rsidR="00B302E8" w:rsidRDefault="00B302E8" w:rsidP="00B302E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Pr="00B302E8" w:rsidRDefault="00B302E8" w:rsidP="00B30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2E8" w:rsidRDefault="00D15C42" w:rsidP="00D15C42">
      <w:pPr>
        <w:spacing w:after="120" w:line="270" w:lineRule="atLeast"/>
        <w:jc w:val="center"/>
        <w:outlineLvl w:val="0"/>
        <w:rPr>
          <w:rFonts w:ascii="Cambria" w:eastAsia="Times New Roman" w:hAnsi="Cambria" w:cs="Times New Roman"/>
          <w:color w:val="003E15"/>
          <w:kern w:val="36"/>
          <w:sz w:val="36"/>
          <w:szCs w:val="36"/>
        </w:rPr>
      </w:pPr>
      <w:r w:rsidRPr="00B302E8">
        <w:rPr>
          <w:rFonts w:ascii="Cambria" w:eastAsia="Times New Roman" w:hAnsi="Cambria" w:cs="Times New Roman"/>
          <w:color w:val="003E15"/>
          <w:kern w:val="36"/>
          <w:sz w:val="36"/>
          <w:szCs w:val="36"/>
        </w:rPr>
        <w:lastRenderedPageBreak/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Pr="00B302E8">
        <w:rPr>
          <w:rFonts w:ascii="Cambria" w:eastAsia="Times New Roman" w:hAnsi="Cambria" w:cs="Times New Roman"/>
          <w:color w:val="003E15"/>
          <w:kern w:val="36"/>
          <w:sz w:val="36"/>
          <w:szCs w:val="36"/>
        </w:rPr>
        <w:t>Дальнереченского</w:t>
      </w:r>
      <w:proofErr w:type="spellEnd"/>
      <w:r w:rsidRPr="00B302E8">
        <w:rPr>
          <w:rFonts w:ascii="Cambria" w:eastAsia="Times New Roman" w:hAnsi="Cambria" w:cs="Times New Roman"/>
          <w:color w:val="003E15"/>
          <w:kern w:val="36"/>
          <w:sz w:val="36"/>
          <w:szCs w:val="36"/>
        </w:rPr>
        <w:t xml:space="preserve"> городского округа</w:t>
      </w:r>
    </w:p>
    <w:p w:rsidR="00D15C42" w:rsidRPr="00B302E8" w:rsidRDefault="00D15C42" w:rsidP="00D15C42">
      <w:pPr>
        <w:spacing w:after="120" w:line="270" w:lineRule="atLeast"/>
        <w:jc w:val="center"/>
        <w:outlineLvl w:val="0"/>
        <w:rPr>
          <w:rFonts w:ascii="Cambria" w:eastAsia="Times New Roman" w:hAnsi="Cambria" w:cs="Times New Roman"/>
          <w:color w:val="003E15"/>
          <w:kern w:val="36"/>
          <w:sz w:val="36"/>
          <w:szCs w:val="36"/>
        </w:rPr>
      </w:pPr>
      <w:r w:rsidRPr="00B302E8">
        <w:rPr>
          <w:rFonts w:ascii="Cambria" w:eastAsia="Times New Roman" w:hAnsi="Cambria" w:cs="Times New Roman"/>
          <w:color w:val="003E15"/>
          <w:kern w:val="36"/>
          <w:sz w:val="36"/>
          <w:szCs w:val="36"/>
        </w:rPr>
        <w:t xml:space="preserve"> на 2022 год</w:t>
      </w:r>
    </w:p>
    <w:p w:rsidR="00D15C42" w:rsidRPr="00D15C42" w:rsidRDefault="00D15C42" w:rsidP="00D15C42">
      <w:pPr>
        <w:spacing w:after="120" w:line="270" w:lineRule="atLeast"/>
        <w:jc w:val="center"/>
        <w:outlineLvl w:val="0"/>
        <w:rPr>
          <w:rFonts w:ascii="Cambria" w:eastAsia="Times New Roman" w:hAnsi="Cambria" w:cs="Times New Roman"/>
          <w:color w:val="003E15"/>
          <w:kern w:val="36"/>
          <w:sz w:val="48"/>
          <w:szCs w:val="48"/>
        </w:rPr>
      </w:pPr>
    </w:p>
    <w:p w:rsidR="00D15C42" w:rsidRPr="00B302E8" w:rsidRDefault="00D15C42" w:rsidP="00D15C42">
      <w:pPr>
        <w:spacing w:after="300" w:line="377" w:lineRule="atLeast"/>
        <w:jc w:val="center"/>
        <w:rPr>
          <w:rFonts w:ascii="Cambria" w:eastAsia="Times New Roman" w:hAnsi="Cambria" w:cs="Times New Roman"/>
          <w:color w:val="67686B"/>
          <w:sz w:val="28"/>
          <w:szCs w:val="28"/>
        </w:rPr>
      </w:pPr>
      <w:r w:rsidRPr="00B302E8">
        <w:rPr>
          <w:rFonts w:ascii="Times New Roman" w:eastAsia="Times New Roman" w:hAnsi="Times New Roman" w:cs="Times New Roman"/>
          <w:b/>
          <w:bCs/>
          <w:color w:val="67686B"/>
          <w:sz w:val="28"/>
          <w:szCs w:val="28"/>
        </w:rPr>
        <w:t>Раздел 1. Общие положения</w:t>
      </w:r>
    </w:p>
    <w:p w:rsidR="00D15C42" w:rsidRPr="00B302E8" w:rsidRDefault="00D15C42" w:rsidP="00D15C42">
      <w:pPr>
        <w:spacing w:after="0" w:line="240" w:lineRule="auto"/>
        <w:rPr>
          <w:rFonts w:ascii="Cambria" w:eastAsia="Times New Roman" w:hAnsi="Cambria" w:cs="Times New Roman"/>
          <w:color w:val="67686B"/>
          <w:sz w:val="28"/>
          <w:szCs w:val="28"/>
        </w:rPr>
      </w:pP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      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</w:t>
      </w:r>
      <w:r w:rsidR="0007771E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устройства 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территории </w:t>
      </w:r>
      <w:proofErr w:type="spellStart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.</w:t>
      </w:r>
    </w:p>
    <w:p w:rsidR="00D15C42" w:rsidRPr="00B302E8" w:rsidRDefault="00D15C42" w:rsidP="00D15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686B"/>
          <w:sz w:val="28"/>
          <w:szCs w:val="28"/>
        </w:rPr>
      </w:pP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b/>
          <w:bCs/>
          <w:color w:val="67686B"/>
          <w:sz w:val="28"/>
          <w:szCs w:val="28"/>
        </w:rPr>
        <w:t>Раздел 2. Аналитическая часть Программы</w:t>
      </w:r>
    </w:p>
    <w:p w:rsidR="00722A12" w:rsidRPr="00B302E8" w:rsidRDefault="00722A12" w:rsidP="00D15C42">
      <w:pPr>
        <w:spacing w:after="0" w:line="240" w:lineRule="auto"/>
        <w:jc w:val="center"/>
        <w:rPr>
          <w:rFonts w:ascii="Cambria" w:eastAsia="Times New Roman" w:hAnsi="Cambria" w:cs="Times New Roman"/>
          <w:color w:val="67686B"/>
          <w:sz w:val="28"/>
          <w:szCs w:val="28"/>
        </w:rPr>
      </w:pPr>
    </w:p>
    <w:p w:rsidR="00D15C42" w:rsidRPr="00B302E8" w:rsidRDefault="00D15C42" w:rsidP="00D15C42">
      <w:pPr>
        <w:spacing w:after="0" w:line="240" w:lineRule="auto"/>
        <w:rPr>
          <w:rFonts w:ascii="Cambria" w:eastAsia="Times New Roman" w:hAnsi="Cambria" w:cs="Times New Roman"/>
          <w:color w:val="67686B"/>
          <w:sz w:val="28"/>
          <w:szCs w:val="28"/>
        </w:rPr>
      </w:pP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  <w:u w:val="single"/>
        </w:rPr>
        <w:t>2.1. Вид осуществляемого муниципального контроля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м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униципальный контроль в сфере благоу</w:t>
      </w:r>
      <w:r w:rsidR="0007771E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стройства 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территории </w:t>
      </w:r>
      <w:proofErr w:type="spellStart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 осуществляется – МКУ «Управление жилищно-коммунального хозяйства </w:t>
      </w:r>
      <w:proofErr w:type="spellStart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округа»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, уполномоченным на осуществление муниципального контроля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;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  <w:u w:val="single"/>
        </w:rPr>
        <w:t xml:space="preserve">2.2. </w:t>
      </w:r>
      <w:proofErr w:type="gramStart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  <w:u w:val="single"/>
        </w:rPr>
        <w:t>Обзор по виду муниципального контроля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м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униципальный контроль за соблюдением правил бла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гоустройства </w:t>
      </w:r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на 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территории</w:t>
      </w:r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</w:t>
      </w:r>
      <w:proofErr w:type="spellStart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</w:t>
      </w:r>
      <w:r w:rsidR="00722A12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-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</w:t>
      </w:r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территории </w:t>
      </w:r>
      <w:proofErr w:type="spellStart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3A6D74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(далее – Правила благоустройства) при осуществлении ими производственной и иной деятельности в сфере</w:t>
      </w:r>
      <w:proofErr w:type="gramEnd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отношений, связанных с обеспечением благоустройства территории (далее - требования Правил благоустройства).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Муниципальный контроль в сфере благоустройства осуществляется за: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соблюдением обязательных требований и (или) требований, установленных муниципальными правовыми актами в сфере благоустройства</w:t>
      </w:r>
      <w:r w:rsidR="0007771E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;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соблюдением выполнения предписаний органов муниципального контроля.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2.3. </w:t>
      </w:r>
      <w:proofErr w:type="gramStart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Муниципальный контроль осуществляется посредством: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lastRenderedPageBreak/>
        <w:t>Правил благоустройства;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  <w:proofErr w:type="gramEnd"/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  <w:u w:val="single"/>
        </w:rPr>
        <w:t>2.4. Субъекты контроля: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муниципального контроля в сфере благоустройства: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Правила благоустройства</w:t>
      </w:r>
      <w:r w:rsidR="0007771E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и содержания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территории </w:t>
      </w:r>
      <w:proofErr w:type="spellStart"/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, утвержде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нные решением Думы </w:t>
      </w:r>
      <w:proofErr w:type="spellStart"/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Дальнереченского</w:t>
      </w:r>
      <w:proofErr w:type="spellEnd"/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городского округа от 09.04.2019 № 28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;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-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Кодекс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Российской Федерации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об административных правонарушениях</w:t>
      </w:r>
      <w:r w:rsidR="00D30E11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2.6. Анализ и оценка рисков причинения вреда охраняемым законом ценностям.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A65673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      </w:t>
      </w:r>
      <w:proofErr w:type="gramStart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Мониторинг состояния субъектов контроля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территории, непринятие мер по ремонту и содержанию фасадов, размещению незаконной рекламы, нарушения при проведении земляных работ и прочее.</w:t>
      </w:r>
      <w:proofErr w:type="gramEnd"/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A65673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      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в следствие</w:t>
      </w:r>
      <w:proofErr w:type="gramEnd"/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="00A65673"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 xml:space="preserve">        </w:t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субъектов благоустройства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D15C42" w:rsidRPr="00B302E8" w:rsidRDefault="00D15C42" w:rsidP="00B302E8">
      <w:pPr>
        <w:spacing w:after="0" w:line="240" w:lineRule="auto"/>
        <w:jc w:val="center"/>
        <w:rPr>
          <w:rFonts w:ascii="Cambria" w:eastAsia="Times New Roman" w:hAnsi="Cambria" w:cs="Times New Roman"/>
          <w:color w:val="67686B"/>
          <w:sz w:val="28"/>
          <w:szCs w:val="28"/>
        </w:rPr>
      </w:pP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b/>
          <w:bCs/>
          <w:color w:val="67686B"/>
          <w:sz w:val="28"/>
          <w:szCs w:val="28"/>
        </w:rPr>
        <w:t>Раздел 3. Цели и задачи Программы</w:t>
      </w:r>
    </w:p>
    <w:p w:rsidR="00D15C42" w:rsidRDefault="00D15C42" w:rsidP="00D15C42">
      <w:pPr>
        <w:spacing w:after="0" w:line="240" w:lineRule="auto"/>
        <w:rPr>
          <w:rFonts w:ascii="Times New Roman" w:eastAsia="Times New Roman" w:hAnsi="Times New Roman" w:cs="Times New Roman"/>
          <w:color w:val="67686B"/>
          <w:sz w:val="27"/>
          <w:szCs w:val="27"/>
        </w:rPr>
      </w:pP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t>3.1. Цели Программы:</w:t>
      </w:r>
      <w:r w:rsidRPr="00B302E8">
        <w:rPr>
          <w:rFonts w:ascii="Cambria" w:eastAsia="Times New Roman" w:hAnsi="Cambria" w:cs="Times New Roman"/>
          <w:color w:val="67686B"/>
          <w:sz w:val="28"/>
          <w:szCs w:val="28"/>
        </w:rPr>
        <w:br/>
      </w:r>
      <w:r w:rsidRPr="00B302E8">
        <w:rPr>
          <w:rFonts w:ascii="Times New Roman" w:eastAsia="Times New Roman" w:hAnsi="Times New Roman" w:cs="Times New Roman"/>
          <w:color w:val="67686B"/>
          <w:sz w:val="28"/>
          <w:szCs w:val="28"/>
        </w:rPr>
        <w:lastRenderedPageBreak/>
        <w:t>- стимулирование добросовестного соблюдения обязательных требований всеми</w:t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 контролируемыми лицами;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соблюдения,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профилактика и предупреждение правонарушений в сфере деятельности субъектами контроля,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обеспечение соблюдения субъектами контроля обязательных требований и требований, установленных муниципальными правовыми актами;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3.2. </w:t>
      </w:r>
      <w:proofErr w:type="gramStart"/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Задачи Программы: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установление зависимости видов, форм и интенсивности профилактических мероприятий от особенностей конкретных субъектов контроля, и проведение профилактических мероприятий с учетом данных факторов;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формирование единого понимания обязательных требований законодательства у всех участников контрольной деятельности;</w:t>
      </w:r>
      <w:proofErr w:type="gramEnd"/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повышение уровня правовой грамотности субъектов контроля,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CD2D96" w:rsidRPr="00D15C42" w:rsidRDefault="00CD2D96" w:rsidP="00D15C42">
      <w:pPr>
        <w:spacing w:after="0" w:line="240" w:lineRule="auto"/>
        <w:rPr>
          <w:rFonts w:ascii="Cambria" w:eastAsia="Times New Roman" w:hAnsi="Cambria" w:cs="Times New Roman"/>
          <w:color w:val="67686B"/>
          <w:sz w:val="24"/>
          <w:szCs w:val="24"/>
        </w:rPr>
      </w:pPr>
    </w:p>
    <w:p w:rsidR="00D15C42" w:rsidRDefault="00D15C42" w:rsidP="00D15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686B"/>
          <w:sz w:val="27"/>
          <w:szCs w:val="27"/>
        </w:rPr>
      </w:pPr>
      <w:r w:rsidRPr="00D15C42">
        <w:rPr>
          <w:rFonts w:ascii="Times New Roman" w:eastAsia="Times New Roman" w:hAnsi="Times New Roman" w:cs="Times New Roman"/>
          <w:b/>
          <w:bCs/>
          <w:color w:val="67686B"/>
          <w:sz w:val="27"/>
          <w:szCs w:val="27"/>
        </w:rPr>
        <w:t>Раздел 4. План мероприятий по профилактике нарушений</w:t>
      </w:r>
    </w:p>
    <w:p w:rsidR="00CD2D96" w:rsidRPr="00D15C42" w:rsidRDefault="00CD2D96" w:rsidP="00D15C42">
      <w:pPr>
        <w:spacing w:after="0" w:line="240" w:lineRule="auto"/>
        <w:jc w:val="center"/>
        <w:rPr>
          <w:rFonts w:ascii="Cambria" w:eastAsia="Times New Roman" w:hAnsi="Cambria" w:cs="Times New Roman"/>
          <w:color w:val="67686B"/>
          <w:sz w:val="24"/>
          <w:szCs w:val="24"/>
        </w:rPr>
      </w:pPr>
    </w:p>
    <w:p w:rsidR="00D15C42" w:rsidRPr="00D15C42" w:rsidRDefault="00D15C42" w:rsidP="00D15C42">
      <w:pPr>
        <w:spacing w:after="0" w:line="240" w:lineRule="auto"/>
        <w:rPr>
          <w:rFonts w:ascii="Cambria" w:eastAsia="Times New Roman" w:hAnsi="Cambria" w:cs="Times New Roman"/>
          <w:color w:val="67686B"/>
          <w:sz w:val="24"/>
          <w:szCs w:val="24"/>
        </w:rPr>
      </w:pP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приведены в Плане мероприятий по профилактике нарушений в сфере благоустройства на 2022 год (приложение).</w:t>
      </w:r>
    </w:p>
    <w:p w:rsidR="00D15C42" w:rsidRPr="00D15C42" w:rsidRDefault="00D15C42" w:rsidP="00D15C42">
      <w:pPr>
        <w:spacing w:after="0" w:line="240" w:lineRule="auto"/>
        <w:jc w:val="center"/>
        <w:rPr>
          <w:rFonts w:ascii="Cambria" w:eastAsia="Times New Roman" w:hAnsi="Cambria" w:cs="Times New Roman"/>
          <w:color w:val="67686B"/>
          <w:sz w:val="24"/>
          <w:szCs w:val="24"/>
        </w:rPr>
      </w:pP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b/>
          <w:bCs/>
          <w:color w:val="67686B"/>
          <w:sz w:val="27"/>
          <w:szCs w:val="27"/>
        </w:rPr>
        <w:t>Раздел 5. Результативность и эффективность Программы.</w:t>
      </w:r>
    </w:p>
    <w:p w:rsidR="00722A12" w:rsidRDefault="00D15C42" w:rsidP="00EB1736">
      <w:pPr>
        <w:spacing w:after="0" w:line="240" w:lineRule="auto"/>
        <w:rPr>
          <w:rFonts w:ascii="Cambria" w:eastAsia="Times New Roman" w:hAnsi="Cambria" w:cs="Times New Roman"/>
          <w:color w:val="67686B"/>
          <w:sz w:val="24"/>
          <w:szCs w:val="24"/>
        </w:rPr>
      </w:pP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proofErr w:type="gramStart"/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снижение рисков причинения вреда охраняемым законом ценностям;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увеличение доли законопослушных субъектов контроля - развитие системы профилактических мероприятий органа муниципального контроля;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внедрение различных способов профилактики;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разработка и внедрение технологий профилактической работы внутри органа муниципального контроля;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обеспечение квалифицированной профилактической работы должностных лиц органа муниципального контроля;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повышение прозрачности деятельности органа муниципального контроля;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уменьшение административной нагрузки на субъекты контроля;</w:t>
      </w:r>
      <w:proofErr w:type="gramEnd"/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lastRenderedPageBreak/>
        <w:t>- повышение уровня правовой грамотности субъектов контроля;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мотивация субъектов контроля к добросовестному поведению;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- снижение уровня правонарушений в сфере благоустройства</w:t>
      </w:r>
      <w:proofErr w:type="gramStart"/>
      <w:r w:rsidRPr="00D15C42">
        <w:rPr>
          <w:rFonts w:ascii="Cambria" w:eastAsia="Times New Roman" w:hAnsi="Cambria" w:cs="Times New Roman"/>
          <w:color w:val="67686B"/>
          <w:sz w:val="27"/>
          <w:szCs w:val="27"/>
        </w:rPr>
        <w:t>.</w:t>
      </w:r>
      <w:proofErr w:type="gramEnd"/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- </w:t>
      </w:r>
      <w:proofErr w:type="gramStart"/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э</w:t>
      </w:r>
      <w:proofErr w:type="gramEnd"/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кологический эффект- повышение уровня экологической безопасности населения.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722A12" w:rsidRPr="00D15C42" w:rsidRDefault="00722A12" w:rsidP="00722A12">
      <w:pPr>
        <w:rPr>
          <w:rFonts w:ascii="Cambria" w:eastAsia="Times New Roman" w:hAnsi="Cambria" w:cs="Times New Roman"/>
          <w:color w:val="67686B"/>
          <w:sz w:val="24"/>
          <w:szCs w:val="24"/>
        </w:rPr>
      </w:pPr>
    </w:p>
    <w:p w:rsidR="00D15C42" w:rsidRPr="00D15C42" w:rsidRDefault="00D15C42" w:rsidP="00D15C42">
      <w:pPr>
        <w:spacing w:after="0" w:line="240" w:lineRule="auto"/>
        <w:jc w:val="right"/>
        <w:rPr>
          <w:rFonts w:ascii="Cambria" w:eastAsia="Times New Roman" w:hAnsi="Cambria" w:cs="Times New Roman"/>
          <w:color w:val="67686B"/>
          <w:sz w:val="24"/>
          <w:szCs w:val="24"/>
        </w:rPr>
      </w:pPr>
      <w:r w:rsidRPr="00D15C42">
        <w:rPr>
          <w:rFonts w:ascii="Times New Roman" w:eastAsia="Times New Roman" w:hAnsi="Times New Roman" w:cs="Times New Roman"/>
          <w:b/>
          <w:bCs/>
          <w:i/>
          <w:iCs/>
          <w:color w:val="67686B"/>
          <w:sz w:val="27"/>
          <w:szCs w:val="27"/>
        </w:rPr>
        <w:t>Приложение к Программе профилактики рисков</w:t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br/>
      </w:r>
      <w:r w:rsidRPr="00D15C42">
        <w:rPr>
          <w:rFonts w:ascii="Times New Roman" w:eastAsia="Times New Roman" w:hAnsi="Times New Roman" w:cs="Times New Roman"/>
          <w:b/>
          <w:bCs/>
          <w:i/>
          <w:iCs/>
          <w:color w:val="67686B"/>
          <w:sz w:val="27"/>
          <w:szCs w:val="27"/>
        </w:rPr>
        <w:t>причинения вреда (ущерба)</w:t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br/>
      </w:r>
      <w:r w:rsidRPr="00D15C42">
        <w:rPr>
          <w:rFonts w:ascii="Times New Roman" w:eastAsia="Times New Roman" w:hAnsi="Times New Roman" w:cs="Times New Roman"/>
          <w:b/>
          <w:bCs/>
          <w:i/>
          <w:iCs/>
          <w:color w:val="67686B"/>
          <w:sz w:val="27"/>
          <w:szCs w:val="27"/>
        </w:rPr>
        <w:t>охраняемым законом ценностям</w:t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br/>
      </w:r>
      <w:r w:rsidRPr="00D15C42">
        <w:rPr>
          <w:rFonts w:ascii="Times New Roman" w:eastAsia="Times New Roman" w:hAnsi="Times New Roman" w:cs="Times New Roman"/>
          <w:b/>
          <w:bCs/>
          <w:i/>
          <w:iCs/>
          <w:color w:val="67686B"/>
          <w:sz w:val="27"/>
          <w:szCs w:val="27"/>
        </w:rPr>
        <w:t>на 2022 год</w:t>
      </w:r>
    </w:p>
    <w:p w:rsidR="00D15C42" w:rsidRPr="00D15C42" w:rsidRDefault="00D15C42" w:rsidP="00D15C42">
      <w:pPr>
        <w:spacing w:after="0" w:line="240" w:lineRule="auto"/>
        <w:jc w:val="center"/>
        <w:rPr>
          <w:rFonts w:ascii="Cambria" w:eastAsia="Times New Roman" w:hAnsi="Cambria" w:cs="Times New Roman"/>
          <w:color w:val="67686B"/>
          <w:sz w:val="24"/>
          <w:szCs w:val="24"/>
        </w:rPr>
      </w:pP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План мероприятий по профилактике нарушений законодател</w:t>
      </w:r>
      <w:r w:rsidR="00EB1736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ьства в сфере благоустройства </w:t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 территории </w:t>
      </w:r>
      <w:proofErr w:type="spellStart"/>
      <w:r w:rsidR="00EB1736">
        <w:rPr>
          <w:rFonts w:ascii="Times New Roman" w:eastAsia="Times New Roman" w:hAnsi="Times New Roman" w:cs="Times New Roman"/>
          <w:color w:val="67686B"/>
          <w:sz w:val="27"/>
          <w:szCs w:val="27"/>
        </w:rPr>
        <w:t>Дальнереченского</w:t>
      </w:r>
      <w:proofErr w:type="spellEnd"/>
      <w:r w:rsidR="00EB1736">
        <w:rPr>
          <w:rFonts w:ascii="Times New Roman" w:eastAsia="Times New Roman" w:hAnsi="Times New Roman" w:cs="Times New Roman"/>
          <w:color w:val="67686B"/>
          <w:sz w:val="27"/>
          <w:szCs w:val="27"/>
        </w:rPr>
        <w:t xml:space="preserve"> городского округа</w:t>
      </w:r>
      <w:r w:rsidRPr="00D15C42">
        <w:rPr>
          <w:rFonts w:ascii="Cambria" w:eastAsia="Times New Roman" w:hAnsi="Cambria" w:cs="Times New Roman"/>
          <w:color w:val="67686B"/>
          <w:sz w:val="24"/>
          <w:szCs w:val="24"/>
        </w:rPr>
        <w:br/>
      </w:r>
      <w:r w:rsidRPr="00D15C42">
        <w:rPr>
          <w:rFonts w:ascii="Times New Roman" w:eastAsia="Times New Roman" w:hAnsi="Times New Roman" w:cs="Times New Roman"/>
          <w:color w:val="67686B"/>
          <w:sz w:val="27"/>
          <w:szCs w:val="27"/>
        </w:rPr>
        <w:t>на 2022 год</w:t>
      </w:r>
    </w:p>
    <w:tbl>
      <w:tblPr>
        <w:tblW w:w="10362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1660"/>
        <w:gridCol w:w="3402"/>
        <w:gridCol w:w="2693"/>
        <w:gridCol w:w="1811"/>
      </w:tblGrid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№</w:t>
            </w:r>
          </w:p>
          <w:p w:rsidR="00D15C42" w:rsidRPr="00D15C42" w:rsidRDefault="00D15C42" w:rsidP="00D15C42">
            <w:pPr>
              <w:spacing w:after="300" w:line="3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/</w:t>
            </w:r>
            <w:proofErr w:type="spellStart"/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Сведения о мероприятии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18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Срок исполнения</w:t>
            </w:r>
          </w:p>
        </w:tc>
      </w:tr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Информирование осуществляется посредством размещения соответствующих сведений на официальном сай</w:t>
            </w:r>
            <w:r w:rsidR="0022465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те </w:t>
            </w:r>
            <w:proofErr w:type="spellStart"/>
            <w:r w:rsidR="00224657">
              <w:rPr>
                <w:rFonts w:ascii="Times New Roman" w:eastAsia="Times New Roman" w:hAnsi="Times New Roman" w:cs="Times New Roman"/>
                <w:sz w:val="27"/>
                <w:szCs w:val="27"/>
              </w:rPr>
              <w:t>Дальнереченского</w:t>
            </w:r>
            <w:proofErr w:type="spellEnd"/>
            <w:r w:rsidR="0022465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округа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информационно-телекоммуникационной сети "Интернет" и в иных формах.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Управление размещает и поддерживает в актуальном состоянии на своем официальном сайте в сети 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«Интернет»</w:t>
            </w:r>
            <w:r w:rsidR="0022465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224657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Должностные лица МКУ «Управление жилищно-коммунального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Дальнереченского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округа</w:t>
            </w:r>
            <w:r w:rsidR="00D15C42"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, уполномоченные на проведение муниципального контроля</w:t>
            </w:r>
          </w:p>
        </w:tc>
        <w:tc>
          <w:tcPr>
            <w:tcW w:w="18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</w:tr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отчетным</w:t>
            </w:r>
            <w:proofErr w:type="gramEnd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, подлежит публичному обсуждению.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Доклад о правоприменительной практике размещается на</w:t>
            </w:r>
            <w:r w:rsidR="008B597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официальном сайте </w:t>
            </w:r>
            <w:proofErr w:type="spellStart"/>
            <w:r w:rsidR="008B5974">
              <w:rPr>
                <w:rFonts w:ascii="Times New Roman" w:eastAsia="Times New Roman" w:hAnsi="Times New Roman" w:cs="Times New Roman"/>
                <w:sz w:val="27"/>
                <w:szCs w:val="27"/>
              </w:rPr>
              <w:t>Дальнереченского</w:t>
            </w:r>
            <w:proofErr w:type="spellEnd"/>
            <w:r w:rsidR="008B597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округа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8B5974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Должностные лица МКУ «Управления жилищно-коммунального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Дальнереченского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округа»</w:t>
            </w:r>
            <w:r w:rsidR="00D15C42"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, уполномоченные на проведение муниципального контроля</w:t>
            </w:r>
          </w:p>
        </w:tc>
        <w:tc>
          <w:tcPr>
            <w:tcW w:w="18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1 раз в год</w:t>
            </w:r>
          </w:p>
        </w:tc>
      </w:tr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Объявление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8B5974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Должностные лица МКУ «Управление жилищно-коммунального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Дальнереченского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округа</w:t>
            </w:r>
            <w:r w:rsidR="00D15C42"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, уполномоченные на проведение муниципального контроля</w:t>
            </w:r>
          </w:p>
        </w:tc>
        <w:tc>
          <w:tcPr>
            <w:tcW w:w="18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</w:tr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Консультирование, осуществляется по 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следующим вопросам: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;</w:t>
            </w:r>
            <w:proofErr w:type="gramEnd"/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- компетенция уполномоченного органа;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- порядок обжалования действий (бездействия) муниципальных инспекторов.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Должностные лица органа администрации Города Томска, уполномоченные на проведение муниципального контроля</w:t>
            </w:r>
          </w:p>
        </w:tc>
        <w:tc>
          <w:tcPr>
            <w:tcW w:w="18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В течение года</w:t>
            </w:r>
          </w:p>
        </w:tc>
      </w:tr>
      <w:tr w:rsidR="00722A12" w:rsidRPr="00D15C42" w:rsidTr="00722A12">
        <w:tc>
          <w:tcPr>
            <w:tcW w:w="796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1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Профилактический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благоустройства.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 проведении обязательного профилактического визита контролируемое лицо уведомляется органом 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Контролируемое лицо вправе отказаться от проведения обязательного профилактического визита, уведомив об этом контролирующее лицо, направившее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позднее</w:t>
            </w:r>
            <w:proofErr w:type="gramEnd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чем за 3 рабочих дня до дня его проведения.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Срок проведения профилактического визита (обязательного профилактического визита) определяется контролирующим лицом 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самостоятельно и не может превышать 1 рабочий день.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видео-конференц-связи</w:t>
            </w:r>
            <w:proofErr w:type="spellEnd"/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>В ходе профилактического визита контролируемое лицо информируется об обязательных требованиях, предъявляемых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D15C42" w:rsidRPr="00D15C42" w:rsidRDefault="00D15C42" w:rsidP="00D15C42">
            <w:pPr>
              <w:spacing w:after="300" w:line="3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</w:t>
            </w:r>
            <w:r w:rsidRPr="00D15C42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693" w:type="dxa"/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hideMark/>
          </w:tcPr>
          <w:p w:rsidR="00D15C42" w:rsidRPr="00D15C42" w:rsidRDefault="00D15C42" w:rsidP="00D1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3F52" w:rsidRPr="00D15C42" w:rsidRDefault="00433F52">
      <w:pPr>
        <w:rPr>
          <w:rFonts w:ascii="Times New Roman" w:hAnsi="Times New Roman" w:cs="Times New Roman"/>
        </w:rPr>
      </w:pPr>
    </w:p>
    <w:sectPr w:rsidR="00433F52" w:rsidRPr="00D15C42" w:rsidSect="00722A1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C42"/>
    <w:rsid w:val="0007771E"/>
    <w:rsid w:val="00224657"/>
    <w:rsid w:val="003A6D74"/>
    <w:rsid w:val="00433F52"/>
    <w:rsid w:val="00484C88"/>
    <w:rsid w:val="006353C2"/>
    <w:rsid w:val="00636FF4"/>
    <w:rsid w:val="00722A12"/>
    <w:rsid w:val="008B5974"/>
    <w:rsid w:val="00A65673"/>
    <w:rsid w:val="00B302E8"/>
    <w:rsid w:val="00CD2D96"/>
    <w:rsid w:val="00CF73AE"/>
    <w:rsid w:val="00D15C42"/>
    <w:rsid w:val="00D30E11"/>
    <w:rsid w:val="00E137BA"/>
    <w:rsid w:val="00EB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88"/>
  </w:style>
  <w:style w:type="paragraph" w:styleId="1">
    <w:name w:val="heading 1"/>
    <w:basedOn w:val="a"/>
    <w:link w:val="10"/>
    <w:uiPriority w:val="9"/>
    <w:qFormat/>
    <w:rsid w:val="00D15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1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30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B302E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B302E8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B30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CharChar">
    <w:name w:val="Знак1 Char Char"/>
    <w:basedOn w:val="a"/>
    <w:rsid w:val="00B302E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3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A630-54D0-429C-A208-A89BFC94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12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Чебунина</dc:creator>
  <cp:keywords/>
  <dc:description/>
  <cp:lastModifiedBy>Чебунина</cp:lastModifiedBy>
  <cp:revision>3</cp:revision>
  <cp:lastPrinted>2021-09-30T23:35:00Z</cp:lastPrinted>
  <dcterms:created xsi:type="dcterms:W3CDTF">2021-09-30T04:03:00Z</dcterms:created>
  <dcterms:modified xsi:type="dcterms:W3CDTF">2021-10-01T00:44:00Z</dcterms:modified>
</cp:coreProperties>
</file>