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министр экономического развития Приморского края 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А.И. Блохин 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1052F2" w:rsidRDefault="001052F2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 w:rsidP="00BB555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</w:p>
    <w:p w:rsidR="001052F2" w:rsidRDefault="00200178" w:rsidP="00BB555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 ОРГАНИЗАЦИИ И ПРОВЕДЕНИИ РЕГИОНАЛЬНОЙ ПРЕДПРИНИМАТЕЛЬСКОЙ ПРЕМИИ</w:t>
      </w:r>
    </w:p>
    <w:p w:rsidR="001052F2" w:rsidRDefault="00200178" w:rsidP="00BB555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«БИЗНЕС У МОРЯ»</w:t>
      </w: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Владивосток</w:t>
      </w: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br w:type="page"/>
      </w:r>
    </w:p>
    <w:p w:rsidR="001052F2" w:rsidRDefault="002001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ТЕРМИНОЛОГИЯ 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Организатор Региональной предпринимательской Премии «Бизнес у моря»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Премия) – АНО «Центр поддержки предпринимательства Приморского края» (далее – Организатор).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Конкурсная комиссия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коллегиальный орган, формируемый </w:t>
      </w:r>
      <w:r>
        <w:rPr>
          <w:rFonts w:ascii="Times New Roman" w:eastAsia="Times New Roman" w:hAnsi="Times New Roman" w:cs="Times New Roman"/>
          <w:bCs/>
        </w:rPr>
        <w:t>Организатором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числа представителей органов исполнительной власти Приморского края, общероссийских общественных организаций (объединений), предпринимателей.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 Премии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Hlk213238356"/>
      <w:r>
        <w:rPr>
          <w:rFonts w:ascii="Times New Roman" w:eastAsia="Times New Roman" w:hAnsi="Times New Roman" w:cs="Times New Roman"/>
          <w:sz w:val="24"/>
          <w:szCs w:val="24"/>
        </w:rPr>
        <w:t>юридическое лицо (за исключением автономных некоммерческих организаций) или индивидуальный предприниматель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Hlk213238407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зарегистрированные и осуществляющие деятельность на территории Приморского края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, подавшие заявку на участие в Премии в установленные сроки и соответствующие требованиям, установленным разделом 5 настоящего Положения.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Победитель Премии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участник Премии, соответствующий конкурсным требованиям, прошедший отбор и набравший наибольшее количество баллов.</w:t>
      </w: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ОБЩИЕ ПОЛОЖЕНИЯ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Настоящее Положение об организации и проведении Региональной предпринимательской Премии «Бизнес у моря» (далее – Премия) определяет порядок и условия организации и проведения Премии.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Настоящее Положение определяет цель, задачи и требования к участникам Премии, порядок предоставления и рассмотрения заявок на участие в Премии, порядок определения победителей.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Премия проводится в три этапа: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первый этап – формирование списка участников;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второй этап – оценка конкурсной комиссии, поданных заявок, определение победителей Премии;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третий этап – проведение торжественной церемонии награждения.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Победители Премии определяются на основе критериев оценки проекта, описанных в настоящем Положении.</w:t>
      </w:r>
    </w:p>
    <w:p w:rsidR="001052F2" w:rsidRDefault="00200178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Приложения к настоящему Положению являются его неотъемлемой частью.</w:t>
      </w:r>
    </w:p>
    <w:p w:rsidR="001052F2" w:rsidRDefault="00200178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ЦЕЛИ И ЗАДАЧИ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 Цель Премии – стимулирование и популяризация предпринимательской деятельности в Приморском крае, выявление и поощрение наиболее успешных и социально значимых предпринимателей, чья работа вносит вклад в экономическое и социальное развитие региона.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Задачи Премии: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выявление победителей среди участников Премии;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увеличение узнаваемости и продвижение продукции производителей Приморского края;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популяризация предпринимательской деятельности;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поддержка приморских предпринимателей, реализующих свою деятельность в муниципалитетах;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развитие межотраслевой кооперации.</w:t>
      </w:r>
    </w:p>
    <w:p w:rsidR="001052F2" w:rsidRDefault="00200178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ОРГАНИЗАТОР ПРЕМИИ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Сведения об Организаторе:</w:t>
      </w:r>
    </w:p>
    <w:p w:rsidR="001052F2" w:rsidRDefault="00200178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местонахождения, почтовый адрес: 690091, г. Владивосток, ул. 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Тигровая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д.7,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603.</w:t>
      </w:r>
    </w:p>
    <w:p w:rsidR="001052F2" w:rsidRDefault="00200178">
      <w:pPr>
        <w:shd w:val="clear" w:color="auto" w:fill="FFFFFF"/>
        <w:snapToGrid w:val="0"/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Организатора – </w:t>
      </w:r>
      <w:hyperlink r:id="rId7">
        <w:r>
          <w:rPr>
            <w:rStyle w:val="a3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</w:p>
    <w:p w:rsidR="001052F2" w:rsidRDefault="00200178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</w:p>
    <w:p w:rsidR="001052F2" w:rsidRDefault="00200178">
      <w:pPr>
        <w:shd w:val="clear" w:color="auto" w:fill="FFFFFF"/>
        <w:snapToGrid w:val="0"/>
        <w:spacing w:after="0" w:line="36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Александровна; № телефона, электронная почта: 8 </w:t>
      </w:r>
      <w:r>
        <w:rPr>
          <w:rFonts w:ascii="Times New Roman" w:eastAsia="SimSun" w:hAnsi="Times New Roman" w:cs="Times New Roman"/>
          <w:sz w:val="24"/>
          <w:szCs w:val="24"/>
        </w:rPr>
        <w:t>(800) 555-09-33, 8 (914) 658-69-58</w:t>
      </w:r>
      <w:r>
        <w:rPr>
          <w:rFonts w:ascii="Times New Roman" w:eastAsiaTheme="majorEastAsia" w:hAnsi="Times New Roman" w:cs="Times New Roman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sz w:val="24"/>
          <w:szCs w:val="24"/>
        </w:rPr>
        <w:t>t.muzychenko@cpp25.ru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Организатор Премии осуществляет: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сбор заявок;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организацию работы конкурсной комиссии,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состав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которого формируется из числа представителей органов государственной власти Приморского края, общероссийских общественных организаций (объединений), экспертов, действующих предпринимателей;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информационное сопровождение организации, проведения и публикации итогов Премии;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обработку заявок, а также работу по сбору и систематизации информации об Участниках Премии;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подведение итогов Премии.</w:t>
      </w:r>
    </w:p>
    <w:p w:rsidR="001052F2" w:rsidRDefault="001052F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УЧАСТНИКИ ПРЕМИИ </w:t>
      </w:r>
    </w:p>
    <w:p w:rsidR="001052F2" w:rsidRDefault="00200178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К участию в Премии допускаются юридические лица (за исключением автономных некоммерческих организаций) и индивидуальные предприниматели, зарегистрированные и осуществляющие деятельность на территории Приморского края.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Участники должны соответствовать следующим требованиям: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Осуществление предпринимательской деятельности не менее 1 года на территории Приморского края на дату подачи заявки;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5.2.2. Отсутствие оснований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недопуска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указанных в п. 5.3 настоящего Положения.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5.2.3. Для субъектов МСП - наличие статуса субъекта малого или среднего предпринимательства, подтвержденное записью в едином реестре субъектов МСП по адресу </w:t>
      </w:r>
      <w:hyperlink r:id="rId8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https://rmsp.nalog.ru/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К участию в Премии не допускаются индивидуальные предприниматели и юридические лица: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5.3.1. являющиеся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осуществляющие предпринимательскую деятельность в сфере игорного бизнеса,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осуществляющие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 и (или) реализацию подакцизных товаров;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юридические лица, находящиеся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таких лиц введена процедура банкротства, деятельность субъекта малого и среднего предпринимательства приостановлена в порядке, предусмотренном законодательством Российской Федерации, индивидуальный предприниматель прекратил деятельность в качестве индивидуального предпринимателя.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5.4. Подавая заявку на участие в Премии, заявитель дает согласие на обработку его персональных данных.</w:t>
      </w:r>
    </w:p>
    <w:p w:rsidR="001052F2" w:rsidRDefault="001052F2">
      <w:pPr>
        <w:shd w:val="clear" w:color="auto" w:fill="FFFFFF"/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hd w:val="clear" w:color="auto" w:fill="FFFFFF"/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ПОРЯДОК ОРГАНИЗАЦИИ И ПРОВЕДЕНИЯ ПРЕМИИ </w:t>
      </w:r>
    </w:p>
    <w:p w:rsidR="001052F2" w:rsidRDefault="00200178">
      <w:pPr>
        <w:shd w:val="clear" w:color="auto" w:fill="FFFFFF"/>
        <w:snapToGrid w:val="0"/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Организатор Премии публикует информацию о проведении мероприятия на официальном сайте Организатора </w:t>
      </w:r>
      <w:hyperlink r:id="rId9">
        <w:r>
          <w:rPr>
            <w:rStyle w:val="a3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Заявители проходят предварительную проверку Организатором на предмет их соответствия требованиям, указанным в разделе 5 настоящего Положения.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Заявитель не допускается к участию в Премии в случае невыполнения требований, указанных в разделе 5 настоящего Положения. Уведомление об отказе направляется на электронный адрес заявителя в течение 10 рабочих дней с момента подачи заявки.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Участник несет ответственность за достоверность представленных сведений. В случае выявления недостоверной информации, участник исключается из числа претендентов на любом этапе проведения Премии.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Организатор оставляет за собой право проверять предоставленные Участниками сведения и документы на любом этапе проведения Премии.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Организатор формирует в каждой номинации и категории по три претендента, составляя список. Конкурсная комиссия из числа этих Участников выбирает победителей.</w:t>
      </w:r>
    </w:p>
    <w:p w:rsidR="001052F2" w:rsidRDefault="00200178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СРОКИ ПРОВЕДЕНИЯ ПРЕМИИ </w:t>
      </w:r>
    </w:p>
    <w:p w:rsidR="001052F2" w:rsidRDefault="00200178">
      <w:pPr>
        <w:shd w:val="clear" w:color="auto" w:fill="FFFFFF"/>
        <w:snapToGrid w:val="0"/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Премия проводится на территории Приморского края с момента публикации Положения в информационно – телекоммуникационной сети «Интернет» на официальном сайте Организатора </w:t>
      </w:r>
      <w:hyperlink r:id="rId10">
        <w:r>
          <w:rPr>
            <w:rStyle w:val="a3"/>
            <w:rFonts w:ascii="Times New Roman" w:hAnsi="Times New Roman" w:cs="Times New Roman"/>
            <w:sz w:val="24"/>
            <w:szCs w:val="24"/>
          </w:rPr>
          <w:t>http://мойбизнес25.рф/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. 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Сроки проведения этапов Премии: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Первый этап – прием и обработка заявок, их проверка на соответствие требованиям настоящего Положения осуществляется в течение 10 рабочих дней с момента подачи заявки;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Второй этап – оценка конкурсной комиссии заявок участников и определение победителей осуществляется в течение 10 дней после закрытия сбора заявок;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Третий этап – проведение торжественной церемонии награждения - в течение 1 месяца после подписания протокола заседания конкурсной комиссии.</w:t>
      </w:r>
    </w:p>
    <w:p w:rsidR="001052F2" w:rsidRDefault="00200178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НОМИНАЦИИ ПРЕМИИ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Номинация «Инновационный прорыв»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компаниям, использующим передовые технологии и разработки, внедрённые в практическую деятельность предприятия.</w:t>
      </w:r>
    </w:p>
    <w:p w:rsidR="001052F2" w:rsidRDefault="001052F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Номинация «Быстрорастущий бизнес»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компаниям,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показавших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наибольший темп роста и устойчивое развитие в короткий промежуток времени.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Номинация «Мой добрый бизнес»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предприятиям,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реализующая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социальные проекты и инициативы.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Номинация «Туризм будущего»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Присуждается представителям бизнеса, внесшим вклад в развитие туризма через строительство и модернизацию туристических объектов — гостиниц, баз отдыха, туристических комплексов, кемпингов,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глэмпингов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объектов питания и развлечений, а также создание новых туристических маршрутов и точек притяжения, способствующих росту туристического потока и развитию внутреннего туризма в регионе.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Номинация «Социально-значимый»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представителям бизнеса, реализовавшим инициативы социального характера, направленные на улучшение городской среды и повышение качества жизни жителей — в том числе строительство и благоустройство детских и спортивных площадок, парков, общественных пространств, ремонт дорог, освещение улиц, озеленение и иные проекты.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 Номинация «Женщина в бизнесе Приморья»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женщинам-предпринимателям Приморского края, достигшим успехов в профессиональной деятельности, проявляющим лидерские качества, инициативу и инновационный подход в развитии бизнеса.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8.7. Номинация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событие Приморья»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профессионалам, организующим мероприятия, которые стали визитной карточкой Приморья, способствуют привлечению туристов и раскрытию талантов молодежи (выставка, фестиваль, форум или конкурс, которые отражают как уникальный культурный код, так и социально-экономический потенциал региона).</w:t>
      </w:r>
    </w:p>
    <w:p w:rsidR="001052F2" w:rsidRDefault="001052F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8.8.  Специальная номинация «Знай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аших»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брендам, которые были отобраны на региональном этапе конкурса «Знай наших» в 2025 г.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не требуется — победители автоматически переносятся из конкурса «Знай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». В номинации участвуют 10 брендов, отобранных на региональном этапе конкурса в 2025 году. Деление по категориям бизнеса не производится.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8.9Номинация «Производитель года»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Присуждается предприятиям, которые демонстрируют устойчивое развитие производства, повышение качества продукции, модернизацию технологий и вклад в промышленный потенциал Приморского края.</w:t>
      </w:r>
    </w:p>
    <w:p w:rsidR="001052F2" w:rsidRDefault="00200178">
      <w:pPr>
        <w:shd w:val="clear" w:color="auto" w:fill="FFFFFF"/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КОНКУРСНАЯ КОМИССИЯ ПРЕМИИ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Состав конкурсной комиссии утверждается Организатором.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Функции конкурсной комиссии включают в себя: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анализ и оценку конкурсных материалов участников;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определение победителей в каждой номинации.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9.3. Конкурсная комиссия оценивает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дистанционно, путем заполнения оценочных листов по проектам, направленным им Организатором по электронной почте.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Члены конкурсной комиссии осуществляет свою работу на безвозмездной основе.</w:t>
      </w:r>
    </w:p>
    <w:p w:rsidR="001052F2" w:rsidRDefault="00200178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ОЦЕНКИ ЗАЯВОК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 Оценка заявок осуществляется по критериям, подробно изложенным в Приложении 1 к настоящему Положению, которое является его неотъемлемой частью. Система оценки основана на накопительной балльной системе.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 Победитель в каждой номинации определяется по сумме набранных баллов, оценок конкурсной комиссии.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 Каждый член конкурсной комиссии дистанционно оценивает конкурсные заявки, присваивает и отражает баллы в оценочной ведомости (Приложение 2 к настоящему Положению) Участника в соответствии с критериями оценки проекта (Приложение 1 к настоящему Положению) и определяет победителей в каждой номинации.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каждой номинации Премии определяются победители по сумме набранных баллов, выставленных членами конкурсной комиссии.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10.4.1. В рамках каждой номинации Премии* определяются три победителя по категориям бизнеса: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«Лидер года»— предприятия с годовой выручкой свыше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за 2024 г.;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«Драйвер роста»— предприятия с годовой выручкой от 50 до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за 2024 г.;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«Открытие года»— предприятия и индивидуальные предприниматели с годовой выручкой до 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за 2024 г.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*Деление по категориям бизнеса («Лидер года», «Драйвер роста», «Открытие года») не применяется для номинаций «Инновационный прорыв» и «Знай наших».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номинации «Инновационный прорыв» определяется один победитель,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номинации «Знай наших» — 10 победителей, автоматически перенесённых из одноимённого конкурса.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10.4.2. Победителем в каждой категории признается участник, набравший наибольшее количество баллов по результатам оценки конкурсной комиссии.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10.4.3.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два или более участников в одной номинации и категории бизнеса набрали одинаковое количество баллов, победитель определяется путем повторной оценки по критериям, установленным в Приложении 1 к настоящему Положению.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10.5. Конкурс по номинации Премии считается состоявшимся, если на участие в Премии по номинации будет подано не менее 2 (двух) заявок, соответствующих требованиям настоящего Положения.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Номинации, на которые не поступили конкурсные заявки, соответствующие требованиям настоящего Положения, считаются несостоявшимися.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дин Участник может подать заявку в несколько номинаций.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дин Участник может быть победителем в нескольких номинациях.</w:t>
      </w:r>
    </w:p>
    <w:p w:rsidR="001052F2" w:rsidRDefault="00200178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ПОДВЕДЕНИЕ ИТОГОВ ПРЕМИИ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Результаты проведения Премии оформляются в виде протокола заседания конкурсной комиссии, который подписывается всеми членами конкурсной комиссии в течение 20-ти рабочих дней, следующих за днем определения победителей.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В протоколе отражается следующая информация: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наименования номинаций;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категории бизнеса («Лидер года», «Драйвер роста», «Открытие года»);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перечень участников с указанием контактных данных в каждой номинации;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наименование победителей в каждой номинации.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 Члены конкурсной комиссии, представители Организатора обязаны строго придерживаться принципов конфиденциальности и неразглашения в отношении информации о заявителях.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11.4. Обработка персональных данных и конфиденциальность информации.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11.4.1. Вся информация, содержащаяся в конкурсных заявках (за исключением информации, которая на момент ее предоставления являлась общедоступной), признается конфиденциальной. Члены конкурсной комиссии, представители Организатора и привлеченные эксперты обязаны обеспечивать ее конфиденциальность и не использовать ее в целях, не связанных с проведением Премии.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11.4.2. Обработка персональных данных Участников осуществляется Организатором в следующих целях: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Премии, включая оценку заявок членами конкурсной комиссии;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информирование общественности о результатах Премии, в том числе путем публикации на официальном сайте Организатора (</w:t>
      </w:r>
      <w:hyperlink r:id="rId1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http://мойбизнес25.рф/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следующей информации о Победителях и Участниках: наименование юридического лица/ФИО индивидуального предпринимателя, номинация.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в соответствии с Федеральным законом от 27.07.2006 № 152-ФЗ «О персональных данных».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11.4.3. Подавая заявку на участие в Премии, Заявитель дает согласие Организатору на обработку предоставленных персональных данных для целей, указанных в п. 11.4.2 настоящего Положения.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11.5. Список победителей размещается Организатором в информационно-телекоммуникационной сети «Интернет» на официальном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сайте:</w:t>
      </w:r>
      <w:hyperlink r:id="rId12"/>
      <w:hyperlink r:id="rId13">
        <w:r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://мойбизнес25.рф/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в течение 20 рабочих дней, с момента подписания протокола всеми участниками конкурсной комиссии.</w:t>
      </w:r>
    </w:p>
    <w:p w:rsidR="001052F2" w:rsidRDefault="001052F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НАГРАЖДЕНИЕ ПОБЕДИТЕЛЕЙ И УЧАСТНИКОВ ПРЕМИИ 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Победители объявляются и награждаются на торжественной церемонии. Место и время проведения церемонии определяются Организатором.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Победители в номинациях награждаются памятными знаками и именными дипломами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победителяс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указанием категории бизнеса («Лидер года», «Драйвер роста», «Открытие года»).</w:t>
      </w:r>
    </w:p>
    <w:p w:rsidR="001052F2" w:rsidRDefault="0020017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 Допускается вручение победителям в номинациях специальных призов от партнёров.</w:t>
      </w:r>
    </w:p>
    <w:p w:rsidR="001052F2" w:rsidRDefault="00200178">
      <w:pPr>
        <w:spacing w:before="240"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ЗАКЛЮЧИТЕЛЬНЫЕ ПОЛОЖЕНИЯ</w:t>
      </w:r>
    </w:p>
    <w:p w:rsidR="001052F2" w:rsidRDefault="002001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 Организатор оставляет за собой право вносить изменения в настоящее Положение.</w:t>
      </w: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 Все изменения и дополнения вступают в силу с даты их опубликования на официальном сайте Организатора по адресу: http://мойбизнес25.рф/, если иной срок не указан непосредственно в тексте изменений.</w:t>
      </w: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13.3. В случае внесения изменений в Положение в период проведения Премии, новые редакции пунктов Положения не распространяются на правоотношения, возникшие до их вступления в силу, если прямо не указано иное. Организатор примет меры для уведомления уже зарегистрированных Участников о существенных изменениях по контактным данным, указанным в заявке.</w:t>
      </w: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13.4. Продолжение участия в Премии после вступления в силу изменений в Положение означает безоговорочное согласие Участника с новыми условиями.</w:t>
      </w: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1052F2" w:rsidRDefault="00200178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052F2" w:rsidRDefault="00200178">
      <w:pPr>
        <w:spacing w:before="240" w:after="0" w:line="276" w:lineRule="auto"/>
        <w:ind w:firstLine="3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 и проведении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Премии</w:t>
      </w: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проектов Региональной предпринимательской Премии «Бизнес у моря»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каждой номинации Премии «Бизнес у моря» (за исключением номинаций «Инновационный прорыв» и «Знай наших»)* определяются три победителя в зависимости от категории бизнеса: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«Лидер года» (выручка свыше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руб. за 2024 г.);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«Драйвер роста» (выручка от 50 до 100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руб. за 2024 г.);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«Открытие года» (выручка до 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руб. за 2024 г.).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участники в рамках одной номинации оцениваются по единым критериям, при этом определение победителей осуществляется отдельно по каждой категории бизнеса.</w:t>
      </w:r>
    </w:p>
    <w:p w:rsidR="001052F2" w:rsidRDefault="00200178">
      <w:pPr>
        <w:spacing w:before="240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*Номинация «Инновационный прорыв», как и специальная номинация «Знай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 не предполагает деления по категориям бизнеса. В номинации «Инновационный прорыв» определяется один победитель. В номинации «Знай наших» — 10 победителей, автоматически перенесённых из одноимённого конкурса.</w:t>
      </w:r>
    </w:p>
    <w:tbl>
      <w:tblPr>
        <w:tblW w:w="11175" w:type="dxa"/>
        <w:tblInd w:w="-615" w:type="dxa"/>
        <w:tblLayout w:type="fixed"/>
        <w:tblCellMar>
          <w:left w:w="100" w:type="dxa"/>
          <w:right w:w="100" w:type="dxa"/>
        </w:tblCellMar>
        <w:tblLook w:val="0600"/>
      </w:tblPr>
      <w:tblGrid>
        <w:gridCol w:w="748"/>
        <w:gridCol w:w="2270"/>
        <w:gridCol w:w="4821"/>
        <w:gridCol w:w="3336"/>
      </w:tblGrid>
      <w:tr w:rsidR="001052F2">
        <w:trPr>
          <w:trHeight w:val="495"/>
        </w:trPr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before="240" w:after="0"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</w:t>
            </w:r>
            <w:proofErr w:type="spellEnd"/>
          </w:p>
        </w:tc>
        <w:tc>
          <w:tcPr>
            <w:tcW w:w="2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before="240"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Наименование Номинации</w:t>
            </w:r>
          </w:p>
        </w:tc>
        <w:tc>
          <w:tcPr>
            <w:tcW w:w="4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before="240" w:after="0"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Критерии оценки проектов</w:t>
            </w:r>
          </w:p>
        </w:tc>
        <w:tc>
          <w:tcPr>
            <w:tcW w:w="3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Присуждение баллов по показателям</w:t>
            </w:r>
          </w:p>
        </w:tc>
      </w:tr>
      <w:tr w:rsidR="001052F2">
        <w:trPr>
          <w:trHeight w:val="170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«Инновационный прорыв»</w:t>
            </w: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588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инновационного продукта/технологии. Как и где применим?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127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75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75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зарегистрированных результатов интеллектуальной деятельности (патенты, ПО, полезные модели и т.п.)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зарегистрированный результат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*максимальное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баллов - 10</w:t>
            </w:r>
          </w:p>
        </w:tc>
      </w:tr>
      <w:tr w:rsidR="001052F2">
        <w:trPr>
          <w:trHeight w:val="75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участника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малой технологической компании, или иного федерального института развития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75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грантов или субсидий на НИОКР и развитие инноваций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года (ФСИ,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грант/субсидия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1422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коммерческих контрактов по продаже инновационного продукта/технологии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– 1 балл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– 2 балла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– 3 балла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т.д. (шаг –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руб.) 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170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«Быстрорастущий бизнес»</w:t>
            </w: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588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бренда и продукта/услуги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588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экспансия на новые рынки: Расширение географии продаж или выхода на новые рынки.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каждый новый канал продаж/регион/страну добавляем – 1 балл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127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2022 по 2023 гг.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 –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каждые + 1% – плюс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20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трудоустроенных сотрудников с 2023 по 2024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 – 1 балл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каждые + 1% – плюс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261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«Мой добрый бизнес»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509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бизнеса и его социальной миссии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619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по развитию и масштабированию социального эффекта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106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211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317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 в реестр социальных предпринимателей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2"/>
            </w:r>
            <w:proofErr w:type="gramEnd"/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317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– 2 балла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Стабильный уровень – 1 балл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динамика – 0 баллов</w:t>
            </w:r>
          </w:p>
        </w:tc>
      </w:tr>
      <w:tr w:rsidR="001052F2">
        <w:trPr>
          <w:trHeight w:val="317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303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номинация для муниципалитетов</w:t>
            </w:r>
          </w:p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«Туризм будущего»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*Заявка подается от муниципалитета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389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 бренда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является ли объект знаковым местом для посещения, как много туристов посещают вас в год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22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tabs>
                <w:tab w:val="left" w:pos="55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410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благодарственных писем/грамот/дипломов/благодарностей</w:t>
            </w:r>
            <w:r>
              <w:rPr>
                <w:rStyle w:val="ae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5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благодарственное письмо/грамота/дипломов/благодарностей –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92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существование компании (года) </w:t>
            </w:r>
            <w:r>
              <w:rPr>
                <w:rStyle w:val="ae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6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Более 10 лет – 2 балла,</w:t>
            </w:r>
          </w:p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более 5 лет – 1 балл,</w:t>
            </w:r>
          </w:p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5 лет – 0 баллов</w:t>
            </w:r>
          </w:p>
        </w:tc>
      </w:tr>
      <w:tr w:rsidR="001052F2">
        <w:trPr>
          <w:trHeight w:val="65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7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номинация для муниципалитетов</w:t>
            </w:r>
          </w:p>
          <w:p w:rsidR="001052F2" w:rsidRDefault="00200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«Социально-значимый»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*Заявка подается от муниципалитета</w:t>
            </w: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Видео визитка:</w:t>
            </w:r>
          </w:p>
        </w:tc>
      </w:tr>
      <w:tr w:rsidR="001052F2">
        <w:trPr>
          <w:trHeight w:val="289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инициативы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923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Социальный эффект: Вклад проекта в улучшение качества жизни населения, развитие городской среды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6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923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реализованных объектов благоустройства</w:t>
            </w:r>
            <w:r>
              <w:rPr>
                <w:rStyle w:val="ae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7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объект =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923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1052F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благодарственных писем/грамот/дипломов/благодарностей от государственных, муниципальных и представительных органов</w:t>
            </w:r>
            <w:r>
              <w:rPr>
                <w:rStyle w:val="ae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благодарственное письмо/грамота/дипломов/благодарностей –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</w:tbl>
    <w:tbl>
      <w:tblPr>
        <w:tblStyle w:val="20"/>
        <w:tblW w:w="11175" w:type="dxa"/>
        <w:tblInd w:w="-615" w:type="dxa"/>
        <w:tblLayout w:type="fixed"/>
        <w:tblCellMar>
          <w:top w:w="0" w:type="dxa"/>
          <w:bottom w:w="0" w:type="dxa"/>
        </w:tblCellMar>
        <w:tblLook w:val="0600"/>
      </w:tblPr>
      <w:tblGrid>
        <w:gridCol w:w="748"/>
        <w:gridCol w:w="2270"/>
        <w:gridCol w:w="4821"/>
        <w:gridCol w:w="3336"/>
      </w:tblGrid>
      <w:tr w:rsidR="001052F2">
        <w:trPr>
          <w:trHeight w:val="272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«Женщина в бизнесе Приморья»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280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социальных инициативах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390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других женщин в бизнесе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34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другими женщинами в бизнесе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20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267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19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234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0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336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сферы деятельности компании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271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участница проекта Женщины в бизнесе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1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545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торговых точек/мест оказания услуг с указанием адреса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2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каждое место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173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событие Приморья»</w:t>
            </w: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 концепции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94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151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(количество участников)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3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100 участников – 1 балл;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каждые + 100 участников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задействованных участников мероприятия из числа локального бизнеса и профессионального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сообщества в качестве экспонентов, спикеров, экспертов, организаторов мероприятий внутри мероприятия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4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участник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735"/>
        </w:trPr>
        <w:tc>
          <w:tcPr>
            <w:tcW w:w="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 номинация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«Знай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аших»</w:t>
            </w: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победителей – 10 лучших брендов, отобранных на региональном этапе конкурса «Знай наших» в 2025 г.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не требуется. Победители автоматически переносятся из конкурса «Знай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по категориям бизнеса (“Лидер года”, “Драйвер роста”, “Открытие года”) не применяется.</w:t>
            </w:r>
          </w:p>
        </w:tc>
      </w:tr>
      <w:tr w:rsidR="001052F2">
        <w:trPr>
          <w:trHeight w:val="94"/>
        </w:trPr>
        <w:tc>
          <w:tcPr>
            <w:tcW w:w="7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«Производитель года»</w:t>
            </w: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 визитка: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производства и ключевых продуктов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улучшения или модернизация, проведённые в 2023–2024 гг.</w:t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</w:tr>
      <w:tr w:rsidR="001052F2">
        <w:trPr>
          <w:trHeight w:val="6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</w:tr>
      <w:tr w:rsidR="001052F2">
        <w:trPr>
          <w:trHeight w:val="6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выручки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5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производственных мощностей или запуск новой производственной линии/продуктовой линейки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6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735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инструментов повышения эффективности (бережливое производство, автоматизация,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7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137"/>
        </w:trPr>
        <w:tc>
          <w:tcPr>
            <w:tcW w:w="7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трудоустроенных сотрудников в производстве с 2023 по 2024 гг.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8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 – 0</w:t>
            </w:r>
          </w:p>
        </w:tc>
      </w:tr>
      <w:tr w:rsidR="001052F2">
        <w:trPr>
          <w:trHeight w:val="159"/>
        </w:trPr>
        <w:tc>
          <w:tcPr>
            <w:tcW w:w="7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сертификатов качества и стандартов (ISO, HACCP,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  <w:r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  <w:footnoteReference w:id="29"/>
            </w: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каждый сертификат – 1 балл*</w:t>
            </w:r>
          </w:p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F2" w:rsidRDefault="002001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</w:tr>
      <w:tr w:rsidR="001052F2">
        <w:trPr>
          <w:trHeight w:val="735"/>
        </w:trPr>
        <w:tc>
          <w:tcPr>
            <w:tcW w:w="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2F2">
        <w:trPr>
          <w:trHeight w:val="735"/>
        </w:trPr>
        <w:tc>
          <w:tcPr>
            <w:tcW w:w="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52F2" w:rsidRDefault="00105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1052F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52F2" w:rsidRDefault="00200178">
      <w:pPr>
        <w:spacing w:before="240"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об организации и проведении</w:t>
      </w:r>
    </w:p>
    <w:p w:rsidR="001052F2" w:rsidRDefault="00200178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Премии</w:t>
      </w:r>
    </w:p>
    <w:p w:rsidR="001052F2" w:rsidRDefault="001052F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ОЦЕНОЧНАЯ ВЕДОМОСТЬ КОНКУРСНОЙ КОМИССИИ </w:t>
      </w:r>
    </w:p>
    <w:p w:rsidR="001052F2" w:rsidRDefault="0020017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Региональной предпринимательской Премии «Бизнес у моря» </w:t>
      </w:r>
    </w:p>
    <w:tbl>
      <w:tblPr>
        <w:tblW w:w="10064" w:type="dxa"/>
        <w:tblLayout w:type="fixed"/>
        <w:tblCellMar>
          <w:left w:w="100" w:type="dxa"/>
          <w:right w:w="100" w:type="dxa"/>
        </w:tblCellMar>
        <w:tblLook w:val="0600"/>
      </w:tblPr>
      <w:tblGrid>
        <w:gridCol w:w="2008"/>
        <w:gridCol w:w="1503"/>
        <w:gridCol w:w="1499"/>
        <w:gridCol w:w="1501"/>
        <w:gridCol w:w="1570"/>
        <w:gridCol w:w="528"/>
        <w:gridCol w:w="1455"/>
      </w:tblGrid>
      <w:tr w:rsidR="001052F2">
        <w:trPr>
          <w:trHeight w:val="225"/>
        </w:trPr>
        <w:tc>
          <w:tcPr>
            <w:tcW w:w="2007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2F2">
        <w:trPr>
          <w:trHeight w:val="900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Наименование субъекта</w:t>
            </w:r>
          </w:p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(проекта)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1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 комиссии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...</w:t>
            </w:r>
          </w:p>
        </w:tc>
        <w:tc>
          <w:tcPr>
            <w:tcW w:w="1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Итоговый балл</w:t>
            </w:r>
          </w:p>
        </w:tc>
      </w:tr>
      <w:tr w:rsidR="001052F2">
        <w:trPr>
          <w:trHeight w:val="225"/>
        </w:trPr>
        <w:tc>
          <w:tcPr>
            <w:tcW w:w="808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Номинация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</w:tr>
      <w:tr w:rsidR="001052F2">
        <w:trPr>
          <w:trHeight w:val="405"/>
        </w:trPr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6601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200178">
            <w:pPr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Баллы</w:t>
            </w: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</w:tc>
      </w:tr>
      <w:tr w:rsidR="001052F2">
        <w:trPr>
          <w:trHeight w:val="225"/>
        </w:trPr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2F2">
        <w:trPr>
          <w:trHeight w:val="570"/>
        </w:trPr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1052F2" w:rsidRDefault="001052F2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52F2" w:rsidRDefault="001052F2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2F2" w:rsidRDefault="001052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052F2" w:rsidSect="001052F2">
      <w:footerReference w:type="even" r:id="rId14"/>
      <w:footerReference w:type="default" r:id="rId15"/>
      <w:footerReference w:type="first" r:id="rId16"/>
      <w:pgSz w:w="11906" w:h="16838"/>
      <w:pgMar w:top="1134" w:right="707" w:bottom="851" w:left="1134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178" w:rsidRDefault="00200178" w:rsidP="001052F2">
      <w:pPr>
        <w:spacing w:after="0" w:line="240" w:lineRule="auto"/>
      </w:pPr>
      <w:r>
        <w:separator/>
      </w:r>
    </w:p>
  </w:endnote>
  <w:endnote w:type="continuationSeparator" w:id="1">
    <w:p w:rsidR="00200178" w:rsidRDefault="00200178" w:rsidP="0010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F2" w:rsidRDefault="001052F2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F2" w:rsidRDefault="006C59D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FFFFFF"/>
        <w:sz w:val="24"/>
        <w:szCs w:val="24"/>
      </w:rPr>
    </w:pP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begin"/>
    </w:r>
    <w:r w:rsidR="00200178">
      <w:rPr>
        <w:rFonts w:ascii="Times New Roman" w:eastAsia="Times New Roman" w:hAnsi="Times New Roman" w:cs="Times New Roman"/>
        <w:color w:val="FFFFFF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separate"/>
    </w:r>
    <w:r w:rsidR="00BB5558">
      <w:rPr>
        <w:rFonts w:ascii="Times New Roman" w:eastAsia="Times New Roman" w:hAnsi="Times New Roman" w:cs="Times New Roman"/>
        <w:noProof/>
        <w:color w:val="FFFFFF"/>
        <w:sz w:val="24"/>
        <w:szCs w:val="24"/>
      </w:rPr>
      <w:t>1</w: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end"/>
    </w:r>
  </w:p>
  <w:p w:rsidR="001052F2" w:rsidRDefault="001052F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F2" w:rsidRDefault="006C59D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FFFFFF"/>
        <w:sz w:val="24"/>
        <w:szCs w:val="24"/>
      </w:rPr>
    </w:pP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begin"/>
    </w:r>
    <w:r w:rsidR="00200178">
      <w:rPr>
        <w:rFonts w:ascii="Times New Roman" w:eastAsia="Times New Roman" w:hAnsi="Times New Roman" w:cs="Times New Roman"/>
        <w:color w:val="FFFFFF"/>
        <w:sz w:val="24"/>
        <w:szCs w:val="24"/>
      </w:rPr>
      <w:instrText xml:space="preserve"> PAGE </w:instrTex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separate"/>
    </w:r>
    <w:r w:rsidR="00200178">
      <w:rPr>
        <w:rFonts w:ascii="Times New Roman" w:eastAsia="Times New Roman" w:hAnsi="Times New Roman" w:cs="Times New Roman"/>
        <w:color w:val="FFFFFF"/>
        <w:sz w:val="24"/>
        <w:szCs w:val="24"/>
      </w:rPr>
      <w:t>18</w:t>
    </w:r>
    <w:r>
      <w:rPr>
        <w:rFonts w:ascii="Times New Roman" w:eastAsia="Times New Roman" w:hAnsi="Times New Roman" w:cs="Times New Roman"/>
        <w:color w:val="FFFFFF"/>
        <w:sz w:val="24"/>
        <w:szCs w:val="24"/>
      </w:rPr>
      <w:fldChar w:fldCharType="end"/>
    </w:r>
  </w:p>
  <w:p w:rsidR="001052F2" w:rsidRDefault="001052F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178" w:rsidRDefault="00200178">
      <w:r>
        <w:separator/>
      </w:r>
    </w:p>
  </w:footnote>
  <w:footnote w:type="continuationSeparator" w:id="1">
    <w:p w:rsidR="00200178" w:rsidRDefault="00200178">
      <w:r>
        <w:continuationSeparator/>
      </w:r>
    </w:p>
  </w:footnote>
  <w:footnote w:id="2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</w:t>
      </w:r>
    </w:p>
  </w:footnote>
  <w:footnote w:id="3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ФНС: справка о численности работников</w:t>
      </w:r>
    </w:p>
  </w:footnote>
  <w:footnote w:id="4">
    <w:p w:rsidR="001052F2" w:rsidRDefault="00200178">
      <w:pPr>
        <w:pStyle w:val="ac"/>
      </w:pPr>
      <w:r>
        <w:rPr>
          <w:rStyle w:val="ad"/>
        </w:rPr>
        <w:footnoteRef/>
      </w:r>
      <w:r>
        <w:t xml:space="preserve">Проверка путем предоставления копий патентов, свидетельств о регистрации </w:t>
      </w:r>
      <w:proofErr w:type="gramStart"/>
      <w:r>
        <w:t>ПО</w:t>
      </w:r>
      <w:proofErr w:type="gramEnd"/>
    </w:p>
  </w:footnote>
  <w:footnote w:id="5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подтверждающих документов от институтов развития (решение о приеме, выписка из реестра)</w:t>
      </w:r>
    </w:p>
  </w:footnote>
  <w:footnote w:id="6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копий договоров, решений о предоставлении гранта/субсидии</w:t>
      </w:r>
    </w:p>
  </w:footnote>
  <w:footnote w:id="7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копий контрактов с указанием сумм</w:t>
      </w:r>
    </w:p>
  </w:footnote>
  <w:footnote w:id="8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перечня новых рынков, подтвержденного контрактами, отчетами о продажах или иными документами</w:t>
      </w:r>
    </w:p>
  </w:footnote>
  <w:footnote w:id="9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</w:t>
      </w:r>
    </w:p>
  </w:footnote>
  <w:footnote w:id="10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ФНС: справка о численности работников</w:t>
      </w:r>
    </w:p>
  </w:footnote>
  <w:footnote w:id="11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</w:t>
      </w:r>
    </w:p>
  </w:footnote>
  <w:footnote w:id="12">
    <w:p w:rsidR="001052F2" w:rsidRDefault="00200178">
      <w:pPr>
        <w:pStyle w:val="ac"/>
      </w:pPr>
      <w:r>
        <w:rPr>
          <w:rStyle w:val="ad"/>
        </w:rPr>
        <w:footnoteRef/>
      </w:r>
      <w:r>
        <w:t>Проверка наличия статуса «Социального предпринимателя» в Едином реестре МСП в ФНС</w:t>
      </w:r>
    </w:p>
  </w:footnote>
  <w:footnote w:id="13">
    <w:p w:rsidR="001052F2" w:rsidRDefault="00200178">
      <w:pPr>
        <w:pStyle w:val="ac"/>
      </w:pPr>
      <w:r>
        <w:rPr>
          <w:rStyle w:val="ad"/>
        </w:rPr>
        <w:footnoteRef/>
      </w:r>
      <w:r>
        <w:t xml:space="preserve">Проверка путем предоставления внутренней отчетности, отчета о социальном воздействии, списков </w:t>
      </w:r>
      <w:proofErr w:type="spellStart"/>
      <w:r>
        <w:t>благополучателей</w:t>
      </w:r>
      <w:proofErr w:type="spellEnd"/>
    </w:p>
  </w:footnote>
  <w:footnote w:id="14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 или внутренней отчетности, подтвержденной штатным расписанием</w:t>
      </w:r>
    </w:p>
  </w:footnote>
  <w:footnote w:id="15">
    <w:p w:rsidR="001052F2" w:rsidRDefault="00200178">
      <w:pPr>
        <w:pStyle w:val="ac"/>
      </w:pPr>
      <w:r>
        <w:rPr>
          <w:rStyle w:val="ad"/>
        </w:rPr>
        <w:footnoteRef/>
      </w:r>
      <w:r>
        <w:t xml:space="preserve">Проверка путём предоставления </w:t>
      </w:r>
      <w:proofErr w:type="gramStart"/>
      <w:r>
        <w:t>копий благодарственных писем/грамот/дипломов/благодарностей</w:t>
      </w:r>
      <w:proofErr w:type="gramEnd"/>
    </w:p>
  </w:footnote>
  <w:footnote w:id="16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выписки из ЕГРЮЛ/ЕГРИП</w:t>
      </w:r>
    </w:p>
  </w:footnote>
  <w:footnote w:id="17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актов выполненных работ</w:t>
      </w:r>
    </w:p>
  </w:footnote>
  <w:footnote w:id="18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копий документов</w:t>
      </w:r>
    </w:p>
  </w:footnote>
  <w:footnote w:id="19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</w:t>
      </w:r>
    </w:p>
  </w:footnote>
  <w:footnote w:id="20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ФНС: справка о численности работников</w:t>
      </w:r>
    </w:p>
  </w:footnote>
  <w:footnote w:id="21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из писка участников проекта Женщина в бизнесе</w:t>
      </w:r>
    </w:p>
  </w:footnote>
  <w:footnote w:id="22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перечня адресов</w:t>
      </w:r>
    </w:p>
  </w:footnote>
  <w:footnote w:id="23">
    <w:p w:rsidR="001052F2" w:rsidRDefault="00200178">
      <w:pPr>
        <w:pStyle w:val="ac"/>
      </w:pPr>
      <w:r>
        <w:rPr>
          <w:rStyle w:val="ad"/>
        </w:rPr>
        <w:footnoteRef/>
      </w:r>
      <w:r>
        <w:t xml:space="preserve">Проверка путем предоставления списка </w:t>
      </w:r>
      <w:proofErr w:type="gramStart"/>
      <w:r>
        <w:t>посетивших</w:t>
      </w:r>
      <w:proofErr w:type="gramEnd"/>
      <w:r>
        <w:t xml:space="preserve"> мероприятие </w:t>
      </w:r>
    </w:p>
  </w:footnote>
  <w:footnote w:id="24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путем предоставления фотографий, ссылок на публикации в социальных сетях/порталах</w:t>
      </w:r>
    </w:p>
  </w:footnote>
  <w:footnote w:id="25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</w:t>
      </w:r>
    </w:p>
  </w:footnote>
  <w:footnote w:id="26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путём предоставления договора на поставку оборудования/фото/видео новой линии или продукта</w:t>
      </w:r>
    </w:p>
  </w:footnote>
  <w:footnote w:id="27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путём предоставления сертификат о прохождении обучения по бережливому производству/ отчёт о внедрении 5S/КАЙДЗЕН/</w:t>
      </w:r>
      <w:proofErr w:type="spellStart"/>
      <w:r>
        <w:t>Lean</w:t>
      </w:r>
      <w:proofErr w:type="spellEnd"/>
      <w:r>
        <w:t>/ фото/видео процесса «</w:t>
      </w:r>
      <w:proofErr w:type="gramStart"/>
      <w:r>
        <w:t>до</w:t>
      </w:r>
      <w:proofErr w:type="gramEnd"/>
      <w:r>
        <w:t>/после»</w:t>
      </w:r>
    </w:p>
  </w:footnote>
  <w:footnote w:id="28">
    <w:p w:rsidR="001052F2" w:rsidRDefault="00200178">
      <w:pPr>
        <w:pStyle w:val="ac"/>
      </w:pPr>
      <w:r>
        <w:rPr>
          <w:rStyle w:val="ad"/>
        </w:rPr>
        <w:footnoteRef/>
      </w:r>
      <w:r>
        <w:t>Проверка по данным отчетности в ФНС: справка о численности работников</w:t>
      </w:r>
    </w:p>
  </w:footnote>
  <w:footnote w:id="29">
    <w:p w:rsidR="001052F2" w:rsidRDefault="00200178">
      <w:pPr>
        <w:pStyle w:val="ac"/>
      </w:pPr>
      <w:r>
        <w:rPr>
          <w:rStyle w:val="ad"/>
        </w:rPr>
        <w:footnoteRef/>
      </w:r>
      <w:r>
        <w:t>Проверка путём предоставления копии сертификатов или регистрационных документов/ сканы заключений/ ссылка на реестр сертификации (при наличии)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2F2"/>
    <w:rsid w:val="001052F2"/>
    <w:rsid w:val="00200178"/>
    <w:rsid w:val="006C59D0"/>
    <w:rsid w:val="00BB5558"/>
    <w:rsid w:val="00F5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1A"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1052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052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52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52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52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052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3E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qFormat/>
    <w:locked/>
    <w:rsid w:val="00D953EE"/>
    <w:rPr>
      <w:rFonts w:asciiTheme="majorHAnsi" w:eastAsiaTheme="majorEastAsia" w:hAnsiTheme="majorHAnsi" w:cstheme="majorBid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B709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qFormat/>
    <w:rsid w:val="00A84056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A8405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A84056"/>
    <w:rPr>
      <w:b/>
      <w:bCs/>
      <w:sz w:val="20"/>
      <w:szCs w:val="20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D2323A"/>
    <w:rPr>
      <w:sz w:val="20"/>
      <w:szCs w:val="20"/>
    </w:rPr>
  </w:style>
  <w:style w:type="character" w:customStyle="1" w:styleId="ad">
    <w:name w:val="Символ сноски"/>
    <w:uiPriority w:val="99"/>
    <w:semiHidden/>
    <w:unhideWhenUsed/>
    <w:qFormat/>
    <w:rsid w:val="00D2323A"/>
    <w:rPr>
      <w:vertAlign w:val="superscript"/>
    </w:rPr>
  </w:style>
  <w:style w:type="character" w:styleId="ae">
    <w:name w:val="footnote reference"/>
    <w:rsid w:val="001052F2"/>
    <w:rPr>
      <w:vertAlign w:val="superscript"/>
    </w:rPr>
  </w:style>
  <w:style w:type="character" w:styleId="af">
    <w:name w:val="FollowedHyperlink"/>
    <w:rsid w:val="001052F2"/>
    <w:rPr>
      <w:color w:val="800000"/>
      <w:u w:val="single"/>
    </w:rPr>
  </w:style>
  <w:style w:type="character" w:customStyle="1" w:styleId="af0">
    <w:name w:val="Символ концевой сноски"/>
    <w:qFormat/>
    <w:rsid w:val="001052F2"/>
    <w:rPr>
      <w:vertAlign w:val="superscript"/>
    </w:rPr>
  </w:style>
  <w:style w:type="character" w:styleId="af1">
    <w:name w:val="endnote reference"/>
    <w:rsid w:val="001052F2"/>
    <w:rPr>
      <w:vertAlign w:val="superscript"/>
    </w:rPr>
  </w:style>
  <w:style w:type="paragraph" w:customStyle="1" w:styleId="af2">
    <w:name w:val="Заголовок"/>
    <w:basedOn w:val="a"/>
    <w:next w:val="af3"/>
    <w:qFormat/>
    <w:rsid w:val="001052F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1052F2"/>
    <w:pPr>
      <w:spacing w:after="140" w:line="276" w:lineRule="auto"/>
    </w:pPr>
  </w:style>
  <w:style w:type="paragraph" w:styleId="af4">
    <w:name w:val="List"/>
    <w:basedOn w:val="af3"/>
    <w:rsid w:val="001052F2"/>
    <w:rPr>
      <w:rFonts w:ascii="PT Astra Serif" w:hAnsi="PT Astra Serif" w:cs="Noto Sans Devanagari"/>
    </w:rPr>
  </w:style>
  <w:style w:type="paragraph" w:styleId="af5">
    <w:name w:val="caption"/>
    <w:basedOn w:val="a"/>
    <w:qFormat/>
    <w:rsid w:val="001052F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rsid w:val="001052F2"/>
    <w:pPr>
      <w:suppressLineNumbers/>
    </w:pPr>
    <w:rPr>
      <w:rFonts w:ascii="PT Astra Serif" w:hAnsi="PT Astra Serif" w:cs="Noto Sans Devanagari"/>
    </w:rPr>
  </w:style>
  <w:style w:type="paragraph" w:styleId="af7">
    <w:name w:val="Title"/>
    <w:basedOn w:val="a"/>
    <w:next w:val="a"/>
    <w:uiPriority w:val="10"/>
    <w:qFormat/>
    <w:rsid w:val="001052F2"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Subtitle"/>
    <w:basedOn w:val="a"/>
    <w:next w:val="a"/>
    <w:uiPriority w:val="11"/>
    <w:qFormat/>
    <w:rsid w:val="001052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4"/>
    <w:uiPriority w:val="34"/>
    <w:qFormat/>
    <w:rsid w:val="00D953EE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eastAsia="en-US"/>
    </w:rPr>
  </w:style>
  <w:style w:type="paragraph" w:styleId="a8">
    <w:name w:val="annotation text"/>
    <w:basedOn w:val="a"/>
    <w:link w:val="a7"/>
    <w:uiPriority w:val="99"/>
    <w:semiHidden/>
    <w:unhideWhenUsed/>
    <w:rsid w:val="00A84056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A84056"/>
    <w:rPr>
      <w:b/>
      <w:bCs/>
    </w:rPr>
  </w:style>
  <w:style w:type="paragraph" w:styleId="ac">
    <w:name w:val="footnote text"/>
    <w:basedOn w:val="a"/>
    <w:link w:val="ab"/>
    <w:uiPriority w:val="99"/>
    <w:semiHidden/>
    <w:unhideWhenUsed/>
    <w:rsid w:val="00D2323A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a"/>
    <w:qFormat/>
    <w:rsid w:val="001052F2"/>
  </w:style>
  <w:style w:type="paragraph" w:styleId="af9">
    <w:name w:val="footer"/>
    <w:basedOn w:val="HeaderandFooter"/>
    <w:rsid w:val="001052F2"/>
  </w:style>
  <w:style w:type="numbering" w:customStyle="1" w:styleId="afa">
    <w:name w:val="Без списка"/>
    <w:uiPriority w:val="99"/>
    <w:semiHidden/>
    <w:unhideWhenUsed/>
    <w:qFormat/>
    <w:rsid w:val="001052F2"/>
  </w:style>
  <w:style w:type="table" w:customStyle="1" w:styleId="TableNormal">
    <w:name w:val="TableNormal"/>
    <w:rsid w:val="001052F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rsid w:val="004275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yperlink" Target="http://&#1084;&#1086;&#1081;&#1073;&#1080;&#1079;&#1085;&#1077;&#1089;25.&#1088;&#1092;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84;&#1086;&#1081;&#1073;&#1080;&#1079;&#1085;&#1077;&#1089;25.&#1088;&#1092;/" TargetMode="External"/><Relationship Id="rId12" Type="http://schemas.openxmlformats.org/officeDocument/2006/relationships/hyperlink" Target="http://mb.primorsk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&#1084;&#1086;&#1081;&#1073;&#1080;&#1079;&#1085;&#1077;&#1089;25.&#1088;&#1092;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&#1084;&#1086;&#1081;&#1073;&#1080;&#1079;&#1085;&#1077;&#1089;25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81;&#1073;&#1080;&#1079;&#1085;&#1077;&#1089;25.&#1088;&#1092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DE6E-2833-49F3-BF91-CDE26627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3475</Words>
  <Characters>19813</Characters>
  <Application>Microsoft Office Word</Application>
  <DocSecurity>4</DocSecurity>
  <Lines>165</Lines>
  <Paragraphs>46</Paragraphs>
  <ScaleCrop>false</ScaleCrop>
  <Company/>
  <LinksUpToDate>false</LinksUpToDate>
  <CharactersWithSpaces>23242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Татьяна</dc:creator>
  <cp:lastModifiedBy>Матюшкина</cp:lastModifiedBy>
  <cp:revision>2</cp:revision>
  <cp:lastPrinted>2025-11-14T04:12:00Z</cp:lastPrinted>
  <dcterms:created xsi:type="dcterms:W3CDTF">2025-12-05T03:45:00Z</dcterms:created>
  <dcterms:modified xsi:type="dcterms:W3CDTF">2025-12-05T03:45:00Z</dcterms:modified>
  <dc:language>ru-RU</dc:language>
</cp:coreProperties>
</file>